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3"/>
          <w:szCs w:val="13"/>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16788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788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52705</wp:posOffset>
            </wp:positionV>
            <wp:extent cx="716788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2687320</wp:posOffset>
            </wp:positionH>
            <wp:positionV relativeFrom="paragraph">
              <wp:posOffset>189230</wp:posOffset>
            </wp:positionV>
            <wp:extent cx="179387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3875" cy="635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2687320</wp:posOffset>
            </wp:positionH>
            <wp:positionV relativeFrom="paragraph">
              <wp:posOffset>120015</wp:posOffset>
            </wp:positionV>
            <wp:extent cx="179387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3875" cy="6350"/>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32" w:lineRule="exact"/>
        <w:rPr>
          <w:sz w:val="24"/>
          <w:szCs w:val="24"/>
          <w:color w:val="auto"/>
        </w:rPr>
      </w:pPr>
    </w:p>
    <w:p>
      <w:pPr>
        <w:ind w:left="1620" w:hanging="188"/>
        <w:spacing w:after="0"/>
        <w:tabs>
          <w:tab w:leader="none" w:pos="16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REGISTRATION STATEMENT PURSUANT TO SECTION 12(b) OR (g) OF THE SECURITIES EXCHANGE ACT OF 1934</w:t>
      </w: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92" w:lineRule="exact"/>
        <w:rPr>
          <w:sz w:val="24"/>
          <w:szCs w:val="24"/>
          <w:color w:val="auto"/>
        </w:rPr>
      </w:pPr>
    </w:p>
    <w:p>
      <w:pPr>
        <w:ind w:left="2060" w:hanging="180"/>
        <w:spacing w:after="0"/>
        <w:tabs>
          <w:tab w:leader="none" w:pos="20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2025</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02" w:lineRule="exact"/>
        <w:rPr>
          <w:sz w:val="24"/>
          <w:szCs w:val="24"/>
          <w:color w:val="auto"/>
        </w:rPr>
      </w:pPr>
    </w:p>
    <w:p>
      <w:pPr>
        <w:ind w:left="2020" w:hanging="172"/>
        <w:spacing w:after="0"/>
        <w:tabs>
          <w:tab w:leader="none" w:pos="20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92" w:lineRule="exact"/>
        <w:rPr>
          <w:sz w:val="24"/>
          <w:szCs w:val="24"/>
          <w:color w:val="auto"/>
        </w:rPr>
      </w:pPr>
    </w:p>
    <w:p>
      <w:pPr>
        <w:ind w:left="1760" w:hanging="170"/>
        <w:spacing w:after="0"/>
        <w:tabs>
          <w:tab w:leader="none" w:pos="176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SHELL COMPANY REPORT PURSUANT TO SECTION 13 OR 15(d) OF THE SECURITIES EXCHANGE ACT OF 1934</w:t>
      </w:r>
    </w:p>
    <w:p>
      <w:pPr>
        <w:spacing w:after="0" w:line="163"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3"/>
          <w:szCs w:val="13"/>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4283710</wp:posOffset>
            </wp:positionH>
            <wp:positionV relativeFrom="paragraph">
              <wp:posOffset>-2540</wp:posOffset>
            </wp:positionV>
            <wp:extent cx="42227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2275" cy="6350"/>
                    </a:xfrm>
                    <a:prstGeom prst="rect">
                      <a:avLst/>
                    </a:prstGeom>
                    <a:noFill/>
                  </pic:spPr>
                </pic:pic>
              </a:graphicData>
            </a:graphic>
          </wp:anchor>
        </w:drawing>
      </w:r>
    </w:p>
    <w:p>
      <w:pPr>
        <w:spacing w:after="0" w:line="150" w:lineRule="exact"/>
        <w:rPr>
          <w:sz w:val="24"/>
          <w:szCs w:val="24"/>
          <w:color w:val="auto"/>
        </w:rPr>
      </w:pPr>
    </w:p>
    <w:p>
      <w:pPr>
        <w:ind w:left="4020"/>
        <w:spacing w:after="0"/>
        <w:tabs>
          <w:tab w:leader="none" w:pos="644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3661410</wp:posOffset>
            </wp:positionH>
            <wp:positionV relativeFrom="paragraph">
              <wp:posOffset>-2540</wp:posOffset>
            </wp:positionV>
            <wp:extent cx="95758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57580" cy="6350"/>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001-33373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2687320</wp:posOffset>
            </wp:positionH>
            <wp:positionV relativeFrom="paragraph">
              <wp:posOffset>41275</wp:posOffset>
            </wp:positionV>
            <wp:extent cx="179387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3875" cy="6350"/>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CAPITAL CLEAN ENERGY CARRIERS CORP.</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2687320</wp:posOffset>
            </wp:positionH>
            <wp:positionV relativeFrom="paragraph">
              <wp:posOffset>145415</wp:posOffset>
            </wp:positionV>
            <wp:extent cx="179387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93875" cy="6350"/>
                    </a:xfrm>
                    <a:prstGeom prst="rect">
                      <a:avLst/>
                    </a:prstGeom>
                    <a:noFill/>
                  </pic:spPr>
                </pic:pic>
              </a:graphicData>
            </a:graphic>
          </wp:anchor>
        </w:drawing>
      </w: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Republic of the Marshall Islands</w:t>
      </w:r>
    </w:p>
    <w:p>
      <w:pPr>
        <w:spacing w:after="0" w:line="20"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1"/>
          <w:szCs w:val="11"/>
          <w:b w:val="1"/>
          <w:bCs w:val="1"/>
          <w:color w:val="auto"/>
        </w:rPr>
        <w:t>(Jurisdiction of incorporation or organization)</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3 Iassonos Street, Piraeus, 18537 Greece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+30 210 458 4950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(Address and telephone number of principal executive offices and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2687320</wp:posOffset>
            </wp:positionH>
            <wp:positionV relativeFrom="paragraph">
              <wp:posOffset>182880</wp:posOffset>
            </wp:positionV>
            <wp:extent cx="179387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93875" cy="635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Gerasimos (Jerry) Kalogiratos, j.kalogiratos@capitalmaritime.com</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(Name and email of company contact person)</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registered or to be registered pursuant to Section 12(b) of the Act:</w:t>
      </w:r>
    </w:p>
    <w:p>
      <w:pPr>
        <w:spacing w:after="0" w:line="295" w:lineRule="exact"/>
        <w:rPr>
          <w:sz w:val="24"/>
          <w:szCs w:val="24"/>
          <w:color w:val="auto"/>
        </w:rPr>
      </w:pPr>
    </w:p>
    <w:tbl>
      <w:tblPr>
        <w:tblLayout w:type="fixed"/>
        <w:tblInd w:w="0" w:type="dxa"/>
        <w:tblCellMar>
          <w:top w:w="0" w:type="dxa"/>
          <w:left w:w="0" w:type="dxa"/>
          <w:bottom w:w="0" w:type="dxa"/>
          <w:right w:w="0" w:type="dxa"/>
        </w:tblCellMar>
      </w:tblPr>
      <w:tr>
        <w:trPr>
          <w:trHeight w:val="129"/>
        </w:trPr>
        <w:tc>
          <w:tcPr>
            <w:tcW w:w="39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Name of each exchange on which registered</w:t>
            </w:r>
          </w:p>
        </w:tc>
      </w:tr>
      <w:tr>
        <w:trPr>
          <w:trHeight w:val="165"/>
        </w:trPr>
        <w:tc>
          <w:tcPr>
            <w:tcW w:w="3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Common Shares, par value $0.01 per share</w:t>
            </w:r>
          </w:p>
        </w:tc>
        <w:tc>
          <w:tcPr>
            <w:tcW w:w="140" w:type="dxa"/>
            <w:vAlign w:val="bottom"/>
          </w:tcPr>
          <w:p>
            <w:pPr>
              <w:spacing w:after="0"/>
              <w:rPr>
                <w:sz w:val="14"/>
                <w:szCs w:val="14"/>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CCEC</w:t>
            </w:r>
          </w:p>
        </w:tc>
        <w:tc>
          <w:tcPr>
            <w:tcW w:w="100" w:type="dxa"/>
            <w:vAlign w:val="bottom"/>
          </w:tcPr>
          <w:p>
            <w:pPr>
              <w:spacing w:after="0"/>
              <w:rPr>
                <w:sz w:val="14"/>
                <w:szCs w:val="14"/>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Nasdaq Global Select Market</w:t>
            </w:r>
          </w:p>
        </w:tc>
      </w:tr>
    </w:tbl>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registered or to be registered pursuant to Section 12(g) of the Act: None</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for which there is a reporting obligation pursuant to Section 15(d)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2687320</wp:posOffset>
            </wp:positionH>
            <wp:positionV relativeFrom="paragraph">
              <wp:posOffset>117475</wp:posOffset>
            </wp:positionV>
            <wp:extent cx="179387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93875" cy="6350"/>
                    </a:xfrm>
                    <a:prstGeom prst="rect">
                      <a:avLst/>
                    </a:prstGeom>
                    <a:noFill/>
                  </pic:spPr>
                </pic:pic>
              </a:graphicData>
            </a:graphic>
          </wp:anchor>
        </w:drawing>
      </w:r>
    </w:p>
    <w:p>
      <w:pPr>
        <w:spacing w:after="0" w:line="3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Indicate the number of outstanding Shares of each of the issuer’s classes of capital or common stock as of the close of the period covered by the annual report.</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59,487,853 Common Shares</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p>
      <w:pPr>
        <w:spacing w:after="0" w:line="139" w:lineRule="exact"/>
        <w:rPr>
          <w:sz w:val="24"/>
          <w:szCs w:val="24"/>
          <w:color w:val="auto"/>
        </w:rPr>
      </w:pPr>
    </w:p>
    <w:p>
      <w:pPr>
        <w:ind w:left="4920"/>
        <w:spacing w:after="0" w:line="150" w:lineRule="exact"/>
        <w:tabs>
          <w:tab w:leader="none" w:pos="5940" w:val="left"/>
        </w:tabs>
        <w:rPr>
          <w:sz w:val="20"/>
          <w:szCs w:val="20"/>
          <w:color w:val="auto"/>
        </w:rPr>
      </w:pPr>
      <w:r>
        <w:rPr>
          <w:rFonts w:ascii="Times New Roman" w:cs="Times New Roman" w:eastAsia="Times New Roman" w:hAnsi="Times New Roman"/>
          <w:sz w:val="13"/>
          <w:szCs w:val="13"/>
          <w:b w:val="1"/>
          <w:bCs w:val="1"/>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b w:val="1"/>
          <w:bCs w:val="1"/>
          <w:color w:val="auto"/>
        </w:rPr>
        <w:t xml:space="preserve">NO  </w:t>
      </w:r>
      <w:r>
        <w:rPr>
          <w:rFonts w:ascii="MS PGothic" w:cs="MS PGothic" w:eastAsia="MS PGothic" w:hAnsi="MS PGothic"/>
          <w:sz w:val="13"/>
          <w:szCs w:val="13"/>
          <w:color w:val="auto"/>
        </w:rPr>
        <w: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If this report is an annual or transition report, indicate by check mark if the registrant is not required to file reports pursuant to Section 13 or 15(d) of the Securities Exchange Act of 1934.</w:t>
      </w:r>
    </w:p>
    <w:p>
      <w:pPr>
        <w:spacing w:after="0" w:line="139" w:lineRule="exact"/>
        <w:rPr>
          <w:sz w:val="24"/>
          <w:szCs w:val="24"/>
          <w:color w:val="auto"/>
        </w:rPr>
      </w:pPr>
    </w:p>
    <w:p>
      <w:pPr>
        <w:ind w:left="4920"/>
        <w:spacing w:after="0" w:line="150" w:lineRule="exact"/>
        <w:tabs>
          <w:tab w:leader="none" w:pos="5940" w:val="left"/>
        </w:tabs>
        <w:rPr>
          <w:sz w:val="20"/>
          <w:szCs w:val="20"/>
          <w:color w:val="auto"/>
        </w:rPr>
      </w:pPr>
      <w:r>
        <w:rPr>
          <w:rFonts w:ascii="Times New Roman" w:cs="Times New Roman" w:eastAsia="Times New Roman" w:hAnsi="Times New Roman"/>
          <w:sz w:val="13"/>
          <w:szCs w:val="13"/>
          <w:b w:val="1"/>
          <w:bCs w:val="1"/>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b w:val="1"/>
          <w:bCs w:val="1"/>
          <w:color w:val="auto"/>
        </w:rPr>
        <w:t xml:space="preserve">NO  </w:t>
      </w:r>
      <w:r>
        <w:rPr>
          <w:rFonts w:ascii="MS PGothic" w:cs="MS PGothic" w:eastAsia="MS PGothic" w:hAnsi="MS PGothic"/>
          <w:sz w:val="13"/>
          <w:szCs w:val="13"/>
          <w:color w:val="auto"/>
        </w:rPr>
        <w:t>☒</w:t>
      </w:r>
    </w:p>
    <w:p>
      <w:pPr>
        <w:spacing w:after="0" w:line="201" w:lineRule="exact"/>
        <w:rPr>
          <w:sz w:val="24"/>
          <w:szCs w:val="24"/>
          <w:color w:val="auto"/>
        </w:rPr>
      </w:pPr>
    </w:p>
    <w:p>
      <w:pPr>
        <w:jc w:val="center"/>
        <w:spacing w:after="0" w:line="293"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3" w:lineRule="exact"/>
        <w:rPr>
          <w:sz w:val="24"/>
          <w:szCs w:val="24"/>
          <w:color w:val="auto"/>
        </w:rPr>
      </w:pPr>
    </w:p>
    <w:p>
      <w:pPr>
        <w:ind w:left="4920"/>
        <w:spacing w:after="0" w:line="150" w:lineRule="exact"/>
        <w:tabs>
          <w:tab w:leader="none" w:pos="5940" w:val="left"/>
        </w:tabs>
        <w:rPr>
          <w:sz w:val="20"/>
          <w:szCs w:val="20"/>
          <w:color w:val="auto"/>
        </w:rPr>
      </w:pPr>
      <w:r>
        <w:rPr>
          <w:rFonts w:ascii="Times New Roman" w:cs="Times New Roman" w:eastAsia="Times New Roman" w:hAnsi="Times New Roman"/>
          <w:sz w:val="13"/>
          <w:szCs w:val="13"/>
          <w:b w:val="1"/>
          <w:bCs w:val="1"/>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b w:val="1"/>
          <w:bCs w:val="1"/>
          <w:color w:val="auto"/>
        </w:rPr>
        <w:t xml:space="preserve">NO  </w:t>
      </w:r>
      <w:r>
        <w:rPr>
          <w:rFonts w:ascii="MS PGothic" w:cs="MS PGothic" w:eastAsia="MS PGothic" w:hAnsi="MS PGothic"/>
          <w:sz w:val="13"/>
          <w:szCs w:val="13"/>
          <w:color w:val="auto"/>
        </w:rPr>
        <w:t>☐</w:t>
      </w:r>
    </w:p>
    <w:p>
      <w:pPr>
        <w:spacing w:after="0" w:line="201" w:lineRule="exact"/>
        <w:rPr>
          <w:sz w:val="24"/>
          <w:szCs w:val="24"/>
          <w:color w:val="auto"/>
        </w:rPr>
      </w:pPr>
    </w:p>
    <w:p>
      <w:pPr>
        <w:jc w:val="center"/>
        <w:spacing w:after="0" w:line="293"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83" w:lineRule="exact"/>
        <w:rPr>
          <w:sz w:val="24"/>
          <w:szCs w:val="24"/>
          <w:color w:val="auto"/>
        </w:rPr>
      </w:pPr>
    </w:p>
    <w:p>
      <w:pPr>
        <w:ind w:left="4920"/>
        <w:spacing w:after="0" w:line="150" w:lineRule="exact"/>
        <w:tabs>
          <w:tab w:leader="none" w:pos="5920" w:val="left"/>
        </w:tabs>
        <w:rPr>
          <w:sz w:val="20"/>
          <w:szCs w:val="20"/>
          <w:color w:val="auto"/>
        </w:rPr>
      </w:pPr>
      <w:r>
        <w:rPr>
          <w:rFonts w:ascii="Times New Roman" w:cs="Times New Roman" w:eastAsia="Times New Roman" w:hAnsi="Times New Roman"/>
          <w:sz w:val="13"/>
          <w:szCs w:val="13"/>
          <w:b w:val="1"/>
          <w:bCs w:val="1"/>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b w:val="1"/>
          <w:bCs w:val="1"/>
          <w:color w:val="auto"/>
        </w:rPr>
        <w:t xml:space="preserve">NO  </w:t>
      </w:r>
      <w:r>
        <w:rPr>
          <w:rFonts w:ascii="MS PGothic" w:cs="MS PGothic" w:eastAsia="MS PGothic" w:hAnsi="MS PGothic"/>
          <w:sz w:val="13"/>
          <w:szCs w:val="13"/>
          <w:color w:val="auto"/>
        </w:rPr>
        <w:t>☐</w:t>
      </w:r>
    </w:p>
    <w:p>
      <w:pPr>
        <w:spacing w:after="0" w:line="201" w:lineRule="exact"/>
        <w:rPr>
          <w:sz w:val="24"/>
          <w:szCs w:val="24"/>
          <w:color w:val="auto"/>
        </w:rPr>
      </w:pPr>
    </w:p>
    <w:p>
      <w:pPr>
        <w:jc w:val="center"/>
        <w:spacing w:after="0" w:line="293"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or an emerging growth company. See definitions of “accelerated filer,” “large accelerated filer,” and “emerging growth company” in Rule 12b-2 of the Exchange Act. (Check one):</w:t>
      </w:r>
    </w:p>
    <w:p>
      <w:pPr>
        <w:spacing w:after="0" w:line="83" w:lineRule="exact"/>
        <w:rPr>
          <w:sz w:val="24"/>
          <w:szCs w:val="24"/>
          <w:color w:val="auto"/>
        </w:rPr>
      </w:pPr>
    </w:p>
    <w:p>
      <w:pPr>
        <w:ind w:left="580"/>
        <w:spacing w:after="0" w:line="150" w:lineRule="exact"/>
        <w:tabs>
          <w:tab w:leader="none" w:pos="3040" w:val="left"/>
          <w:tab w:leader="none" w:pos="5340" w:val="left"/>
          <w:tab w:leader="none" w:pos="8060" w:val="left"/>
        </w:tabs>
        <w:rPr>
          <w:sz w:val="20"/>
          <w:szCs w:val="20"/>
          <w:color w:val="auto"/>
        </w:rPr>
      </w:pPr>
      <w:r>
        <w:rPr>
          <w:rFonts w:ascii="Times New Roman" w:cs="Times New Roman" w:eastAsia="Times New Roman" w:hAnsi="Times New Roman"/>
          <w:sz w:val="13"/>
          <w:szCs w:val="13"/>
          <w:b w:val="1"/>
          <w:bCs w:val="1"/>
          <w:color w:val="auto"/>
        </w:rPr>
        <w:t xml:space="preserve">Large accelerated filer </w:t>
      </w:r>
      <w:r>
        <w:rPr>
          <w:rFonts w:ascii="MS PGothic" w:cs="MS PGothic" w:eastAsia="MS PGothic" w:hAnsi="MS PGothic"/>
          <w:sz w:val="13"/>
          <w:szCs w:val="13"/>
          <w:color w:val="auto"/>
          <w:highlight w:val="black"/>
        </w:rPr>
        <w:t>☐</w:t>
      </w:r>
      <w:r>
        <w:rPr>
          <w:sz w:val="20"/>
          <w:szCs w:val="20"/>
          <w:color w:val="auto"/>
        </w:rPr>
        <w:tab/>
      </w:r>
      <w:r>
        <w:rPr>
          <w:rFonts w:ascii="Times New Roman" w:cs="Times New Roman" w:eastAsia="Times New Roman" w:hAnsi="Times New Roman"/>
          <w:sz w:val="13"/>
          <w:szCs w:val="13"/>
          <w:b w:val="1"/>
          <w:bCs w:val="1"/>
          <w:color w:val="auto"/>
        </w:rPr>
        <w:t xml:space="preserve">Accelerated Filer </w:t>
      </w:r>
      <w:r>
        <w:rPr>
          <w:rFonts w:ascii="MS PGothic" w:cs="MS PGothic" w:eastAsia="MS PGothic" w:hAnsi="MS PGothic"/>
          <w:sz w:val="13"/>
          <w:szCs w:val="13"/>
          <w:color w:val="auto"/>
          <w:highlight w:val="black"/>
        </w:rPr>
        <w:t>☒</w:t>
      </w:r>
      <w:r>
        <w:rPr>
          <w:sz w:val="20"/>
          <w:szCs w:val="20"/>
          <w:color w:val="auto"/>
        </w:rPr>
        <w:tab/>
      </w:r>
      <w:r>
        <w:rPr>
          <w:rFonts w:ascii="Times New Roman" w:cs="Times New Roman" w:eastAsia="Times New Roman" w:hAnsi="Times New Roman"/>
          <w:sz w:val="13"/>
          <w:szCs w:val="13"/>
          <w:b w:val="1"/>
          <w:bCs w:val="1"/>
          <w:color w:val="auto"/>
        </w:rPr>
        <w:t xml:space="preserve">Non- accelerated filer </w:t>
      </w:r>
      <w:r>
        <w:rPr>
          <w:rFonts w:ascii="MS PGothic" w:cs="MS PGothic" w:eastAsia="MS PGothic" w:hAnsi="MS PGothic"/>
          <w:sz w:val="13"/>
          <w:szCs w:val="13"/>
          <w:color w:val="auto"/>
          <w:highlight w:val="black"/>
        </w:rPr>
        <w:t>☐</w:t>
      </w:r>
      <w:r>
        <w:rPr>
          <w:sz w:val="20"/>
          <w:szCs w:val="20"/>
          <w:color w:val="auto"/>
        </w:rPr>
        <w:tab/>
      </w:r>
      <w:r>
        <w:rPr>
          <w:rFonts w:ascii="Times New Roman" w:cs="Times New Roman" w:eastAsia="Times New Roman" w:hAnsi="Times New Roman"/>
          <w:sz w:val="13"/>
          <w:szCs w:val="13"/>
          <w:b w:val="1"/>
          <w:bCs w:val="1"/>
          <w:color w:val="auto"/>
        </w:rPr>
        <w:t xml:space="preserve">Emerging growth company </w:t>
      </w:r>
      <w:r>
        <w:rPr>
          <w:rFonts w:ascii="MS PGothic" w:cs="MS PGothic" w:eastAsia="MS PGothic" w:hAnsi="MS PGothic"/>
          <w:sz w:val="13"/>
          <w:szCs w:val="13"/>
          <w:color w:val="auto"/>
          <w:highlight w:val="black"/>
        </w:rPr>
        <w:t>☐</w:t>
      </w:r>
    </w:p>
    <w:p>
      <w:pPr>
        <w:spacing w:after="0" w:line="201" w:lineRule="exact"/>
        <w:rPr>
          <w:sz w:val="24"/>
          <w:szCs w:val="24"/>
          <w:color w:val="auto"/>
        </w:rPr>
      </w:pPr>
    </w:p>
    <w:p>
      <w:pPr>
        <w:jc w:val="center"/>
        <w:ind w:left="320" w:right="80"/>
        <w:spacing w:after="0" w:line="176" w:lineRule="exact"/>
        <w:rPr>
          <w:sz w:val="20"/>
          <w:szCs w:val="20"/>
          <w:color w:val="auto"/>
        </w:rPr>
      </w:pPr>
      <w:r>
        <w:rPr>
          <w:rFonts w:ascii="Times New Roman" w:cs="Times New Roman" w:eastAsia="Times New Roman" w:hAnsi="Times New Roman"/>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 The term “new or revised financial accounting standard” refers to any update issued by the Financial Accounting Standards Board to its Accounting Standards Codification after April 5, 2012.</w:t>
      </w:r>
    </w:p>
    <w:p>
      <w:pPr>
        <w:sectPr>
          <w:pgSz w:w="11900" w:h="16838" w:orient="portrait"/>
          <w:cols w:equalWidth="0" w:num="1">
            <w:col w:w="11280"/>
          </w:cols>
          <w:pgMar w:left="300" w:top="616" w:right="319" w:bottom="0" w:gutter="0" w:footer="0" w:header="0"/>
        </w:sectPr>
      </w:pPr>
    </w:p>
    <w:bookmarkStart w:id="1" w:name="page2"/>
    <w:bookmarkEnd w:id="1"/>
    <w:p>
      <w:pPr>
        <w:jc w:val="center"/>
        <w:ind w:left="340" w:right="140"/>
        <w:spacing w:after="0" w:line="17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 attestation to it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127" w:lineRule="exact"/>
        <w:rPr>
          <w:sz w:val="20"/>
          <w:szCs w:val="20"/>
          <w:color w:val="auto"/>
        </w:rPr>
      </w:pPr>
    </w:p>
    <w:p>
      <w:pPr>
        <w:jc w:val="center"/>
        <w:ind w:left="20" w:right="20"/>
        <w:spacing w:after="0" w:line="176"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226" w:lineRule="exact"/>
        <w:rPr>
          <w:sz w:val="20"/>
          <w:szCs w:val="20"/>
          <w:color w:val="auto"/>
        </w:rPr>
      </w:pPr>
    </w:p>
    <w:p>
      <w:pPr>
        <w:jc w:val="center"/>
        <w:ind w:left="340" w:right="40"/>
        <w:spacing w:after="0" w:line="191" w:lineRule="exact"/>
        <w:rPr>
          <w:sz w:val="20"/>
          <w:szCs w:val="20"/>
          <w:color w:val="auto"/>
        </w:rPr>
      </w:pPr>
      <w:r>
        <w:rPr>
          <w:rFonts w:ascii="Times New Roman" w:cs="Times New Roman" w:eastAsia="Times New Roman" w:hAnsi="Times New Roman"/>
          <w:sz w:val="13"/>
          <w:szCs w:val="13"/>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auto"/>
        </w:rPr>
        <w:t>ﬃ</w:t>
      </w:r>
      <w:r>
        <w:rPr>
          <w:rFonts w:ascii="Times New Roman" w:cs="Times New Roman" w:eastAsia="Times New Roman" w:hAnsi="Times New Roman"/>
          <w:sz w:val="13"/>
          <w:szCs w:val="13"/>
          <w:color w:val="auto"/>
        </w:rPr>
        <w:t xml:space="preserve">cers during the relevant recovery period pursuant to §240.10D-1(b). </w:t>
      </w:r>
      <w:r>
        <w:rPr>
          <w:rFonts w:ascii="Arial Unicode MS" w:cs="Arial Unicode MS" w:eastAsia="Arial Unicode MS" w:hAnsi="Arial Unicode MS"/>
          <w:sz w:val="13"/>
          <w:szCs w:val="13"/>
          <w:color w:val="auto"/>
        </w:rPr>
        <w: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Indicate by check mark which basis of accounting the registrant has used to prepare the financial statements included in this filing:</w:t>
      </w:r>
    </w:p>
    <w:p>
      <w:pPr>
        <w:sectPr>
          <w:pgSz w:w="11900" w:h="16838" w:orient="portrait"/>
          <w:cols w:equalWidth="0" w:num="1">
            <w:col w:w="11280"/>
          </w:cols>
          <w:pgMar w:left="300" w:top="127" w:right="319" w:bottom="1440" w:gutter="0" w:footer="0" w:header="0"/>
        </w:sectPr>
      </w:pPr>
    </w:p>
    <w:p>
      <w:pPr>
        <w:spacing w:after="0" w:line="139" w:lineRule="exact"/>
        <w:rPr>
          <w:sz w:val="20"/>
          <w:szCs w:val="20"/>
          <w:color w:val="auto"/>
        </w:rPr>
      </w:pPr>
    </w:p>
    <w:p>
      <w:pPr>
        <w:ind w:left="740"/>
        <w:spacing w:after="0" w:line="175" w:lineRule="exact"/>
        <w:rPr>
          <w:sz w:val="20"/>
          <w:szCs w:val="20"/>
          <w:color w:val="auto"/>
        </w:rPr>
      </w:pPr>
      <w:r>
        <w:rPr>
          <w:rFonts w:ascii="Times New Roman" w:cs="Times New Roman" w:eastAsia="Times New Roman" w:hAnsi="Times New Roman"/>
          <w:sz w:val="13"/>
          <w:szCs w:val="13"/>
          <w:b w:val="1"/>
          <w:bCs w:val="1"/>
          <w:color w:val="auto"/>
        </w:rPr>
        <w:t xml:space="preserve">U.S. GAAP </w:t>
      </w:r>
      <w:r>
        <w:rPr>
          <w:rFonts w:ascii="Arial Unicode MS" w:cs="Arial Unicode MS" w:eastAsia="Arial Unicode MS" w:hAnsi="Arial Unicode MS"/>
          <w:sz w:val="13"/>
          <w:szCs w:val="13"/>
          <w:color w:val="auto"/>
          <w:highlight w:val="black"/>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International Financial Reporting Standards as issued by the International Accounting</w:t>
      </w:r>
    </w:p>
    <w:p>
      <w:pPr>
        <w:spacing w:after="0" w:line="25" w:lineRule="exact"/>
        <w:rPr>
          <w:sz w:val="20"/>
          <w:szCs w:val="20"/>
          <w:color w:val="auto"/>
        </w:rPr>
      </w:pPr>
    </w:p>
    <w:p>
      <w:pPr>
        <w:jc w:val="center"/>
        <w:ind w:right="400"/>
        <w:spacing w:after="0" w:line="175" w:lineRule="exact"/>
        <w:rPr>
          <w:sz w:val="20"/>
          <w:szCs w:val="20"/>
          <w:color w:val="auto"/>
        </w:rPr>
      </w:pPr>
      <w:r>
        <w:rPr>
          <w:rFonts w:ascii="Times New Roman" w:cs="Times New Roman" w:eastAsia="Times New Roman" w:hAnsi="Times New Roman"/>
          <w:sz w:val="13"/>
          <w:szCs w:val="13"/>
          <w:b w:val="1"/>
          <w:bCs w:val="1"/>
          <w:color w:val="auto"/>
        </w:rPr>
        <w:t xml:space="preserve">Standards Board </w:t>
      </w:r>
      <w:r>
        <w:rPr>
          <w:rFonts w:ascii="Times New Roman" w:cs="Times New Roman" w:eastAsia="Times New Roman" w:hAnsi="Times New Roman"/>
          <w:sz w:val="13"/>
          <w:szCs w:val="13"/>
          <w:color w:val="auto"/>
        </w:rPr>
        <w:t> </w:t>
      </w:r>
      <w:r>
        <w:rPr>
          <w:rFonts w:ascii="Arial Unicode MS" w:cs="Arial Unicode MS" w:eastAsia="Arial Unicode MS" w:hAnsi="Arial Unicode MS"/>
          <w:sz w:val="13"/>
          <w:szCs w:val="13"/>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75" w:lineRule="exact"/>
        <w:rPr>
          <w:sz w:val="20"/>
          <w:szCs w:val="20"/>
          <w:color w:val="auto"/>
        </w:rPr>
      </w:pPr>
      <w:r>
        <w:rPr>
          <w:rFonts w:ascii="Times New Roman" w:cs="Times New Roman" w:eastAsia="Times New Roman" w:hAnsi="Times New Roman"/>
          <w:sz w:val="13"/>
          <w:szCs w:val="13"/>
          <w:b w:val="1"/>
          <w:bCs w:val="1"/>
          <w:color w:val="auto"/>
        </w:rPr>
        <w:t xml:space="preserve">Other </w:t>
      </w:r>
      <w:r>
        <w:rPr>
          <w:rFonts w:ascii="Arial Unicode MS" w:cs="Arial Unicode MS" w:eastAsia="Arial Unicode MS" w:hAnsi="Arial Unicode MS"/>
          <w:sz w:val="13"/>
          <w:szCs w:val="13"/>
          <w:color w:val="auto"/>
        </w:rPr>
        <w:t>☐</w:t>
      </w:r>
    </w:p>
    <w:p>
      <w:pPr>
        <w:spacing w:after="0" w:line="403" w:lineRule="exact"/>
        <w:rPr>
          <w:sz w:val="20"/>
          <w:szCs w:val="20"/>
          <w:color w:val="auto"/>
        </w:rPr>
      </w:pPr>
    </w:p>
    <w:p>
      <w:pPr>
        <w:sectPr>
          <w:pgSz w:w="11900" w:h="16838" w:orient="portrait"/>
          <w:cols w:equalWidth="0" w:num="3">
            <w:col w:w="2360" w:space="720"/>
            <w:col w:w="5340" w:space="720"/>
            <w:col w:w="2140"/>
          </w:cols>
          <w:pgMar w:left="300" w:top="127" w:right="319" w:bottom="1440" w:gutter="0" w:footer="0" w:header="0"/>
          <w:type w:val="continuous"/>
        </w:sect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If “Other” has been checked in response to the previous question, indicate by check mark which financial statements item the registrant has elected to follow.</w:t>
      </w:r>
    </w:p>
    <w:p>
      <w:pPr>
        <w:sectPr>
          <w:pgSz w:w="11900" w:h="16838" w:orient="portrait"/>
          <w:cols w:equalWidth="0" w:num="1">
            <w:col w:w="11280"/>
          </w:cols>
          <w:pgMar w:left="300" w:top="127" w:right="319" w:bottom="1440" w:gutter="0" w:footer="0" w:header="0"/>
          <w:type w:val="continuous"/>
        </w:sectPr>
      </w:pPr>
    </w:p>
    <w:p>
      <w:pPr>
        <w:spacing w:after="0" w:line="16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3"/>
          <w:szCs w:val="13"/>
          <w:b w:val="1"/>
          <w:bCs w:val="1"/>
          <w:color w:val="auto"/>
        </w:rPr>
        <w:t>ITEM 17</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18</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176" w:lineRule="exact"/>
        <w:rPr>
          <w:sz w:val="20"/>
          <w:szCs w:val="20"/>
          <w:color w:val="auto"/>
        </w:rPr>
      </w:pPr>
    </w:p>
    <w:p>
      <w:pPr>
        <w:sectPr>
          <w:pgSz w:w="11900" w:h="16838" w:orient="portrait"/>
          <w:cols w:equalWidth="0" w:num="4">
            <w:col w:w="5160" w:space="100"/>
            <w:col w:w="120" w:space="540"/>
            <w:col w:w="520" w:space="100"/>
            <w:col w:w="4740"/>
          </w:cols>
          <w:pgMar w:left="300" w:top="127"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color w:val="auto"/>
        </w:rPr>
        <w:t>If this is an annual report, indicate by check mark whether the registrant is a shell company (as defined in Rule 12b-2 of the Exchange Act).</w:t>
      </w:r>
    </w:p>
    <w:p>
      <w:pPr>
        <w:sectPr>
          <w:pgSz w:w="11900" w:h="16838" w:orient="portrait"/>
          <w:cols w:equalWidth="0" w:num="1">
            <w:col w:w="11280"/>
          </w:cols>
          <w:pgMar w:left="300" w:top="127" w:right="319" w:bottom="1440" w:gutter="0" w:footer="0" w:header="0"/>
          <w:type w:val="continuous"/>
        </w:sectPr>
      </w:pPr>
    </w:p>
    <w:p>
      <w:pPr>
        <w:spacing w:after="0" w:line="16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3"/>
          <w:szCs w:val="13"/>
          <w:b w:val="1"/>
          <w:bCs w:val="1"/>
          <w:color w:val="auto"/>
        </w:rPr>
        <w:t>YES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204" w:lineRule="exact"/>
        <w:rPr>
          <w:sz w:val="20"/>
          <w:szCs w:val="20"/>
          <w:color w:val="auto"/>
        </w:rPr>
      </w:pPr>
    </w:p>
    <w:p>
      <w:pPr>
        <w:sectPr>
          <w:pgSz w:w="11900" w:h="16838" w:orient="portrait"/>
          <w:cols w:equalWidth="0" w:num="4">
            <w:col w:w="5180" w:space="100"/>
            <w:col w:w="120" w:space="580"/>
            <w:col w:w="200" w:space="60"/>
            <w:col w:w="5040"/>
          </w:cols>
          <w:pgMar w:left="300" w:top="127" w:right="319" w:bottom="1440" w:gutter="0" w:footer="0" w:header="0"/>
          <w:type w:val="continuous"/>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180" w:type="dxa"/>
            <w:vAlign w:val="bottom"/>
            <w:gridSpan w:val="2"/>
          </w:tcPr>
          <w:p>
            <w:pPr>
              <w:jc w:val="center"/>
              <w:ind w:right="3220"/>
              <w:spacing w:after="0"/>
              <w:rPr>
                <w:sz w:val="20"/>
                <w:szCs w:val="20"/>
                <w:color w:val="auto"/>
              </w:rPr>
            </w:pPr>
            <w:r>
              <w:rPr>
                <w:rFonts w:ascii="Times New Roman" w:cs="Times New Roman" w:eastAsia="Times New Roman" w:hAnsi="Times New Roman"/>
                <w:sz w:val="13"/>
                <w:szCs w:val="13"/>
                <w:b w:val="1"/>
                <w:bCs w:val="1"/>
                <w:color w:val="auto"/>
              </w:rPr>
              <w:t>CAPITAL CLEAN ENERGY CARRIERS CORP.</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180" w:type="dxa"/>
            <w:vAlign w:val="bottom"/>
            <w:gridSpan w:val="2"/>
          </w:tcPr>
          <w:p>
            <w:pPr>
              <w:jc w:val="center"/>
              <w:ind w:right="320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0340" w:type="dxa"/>
            <w:vAlign w:val="bottom"/>
            <w:gridSpan w:val="20"/>
          </w:tcPr>
          <w:p>
            <w:pPr>
              <w:spacing w:after="0"/>
              <w:rPr>
                <w:sz w:val="20"/>
                <w:szCs w:val="20"/>
                <w:color w:val="auto"/>
              </w:rPr>
            </w:pPr>
            <w:r>
              <w:rPr>
                <w:rFonts w:ascii="Times New Roman" w:cs="Times New Roman" w:eastAsia="Times New Roman" w:hAnsi="Times New Roman"/>
                <w:sz w:val="13"/>
                <w:szCs w:val="13"/>
                <w:color w:val="0000EE"/>
              </w:rPr>
              <w:t>Part I.</w:t>
            </w:r>
          </w:p>
        </w:tc>
        <w:tc>
          <w:tcPr>
            <w:tcW w:w="880" w:type="dxa"/>
            <w:vAlign w:val="bottom"/>
            <w:gridSpan w:val="3"/>
            <w:vMerge w:val="restart"/>
          </w:tcPr>
          <w:p>
            <w:pPr>
              <w:spacing w:after="0"/>
              <w:rPr>
                <w:sz w:val="24"/>
                <w:szCs w:val="24"/>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0000EE"/>
                <w:w w:val="71"/>
              </w:rPr>
              <w:t>8</w:t>
            </w:r>
          </w:p>
        </w:tc>
        <w:tc>
          <w:tcPr>
            <w:tcW w:w="0" w:type="dxa"/>
            <w:vAlign w:val="bottom"/>
          </w:tcPr>
          <w:p>
            <w:pPr>
              <w:spacing w:after="0"/>
              <w:rPr>
                <w:sz w:val="1"/>
                <w:szCs w:val="1"/>
                <w:color w:val="auto"/>
              </w:rPr>
            </w:pPr>
          </w:p>
        </w:tc>
      </w:tr>
      <w:tr>
        <w:trPr>
          <w:trHeight w:val="65"/>
        </w:trPr>
        <w:tc>
          <w:tcPr>
            <w:tcW w:w="3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60" w:type="dxa"/>
            <w:vAlign w:val="bottom"/>
            <w:tcBorders>
              <w:bottom w:val="single" w:sz="8" w:color="0000EE"/>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60" w:type="dxa"/>
            <w:vAlign w:val="bottom"/>
            <w:gridSpan w:val="16"/>
          </w:tcPr>
          <w:p>
            <w:pPr>
              <w:spacing w:after="0"/>
              <w:rPr>
                <w:sz w:val="20"/>
                <w:szCs w:val="20"/>
                <w:color w:val="auto"/>
              </w:rPr>
            </w:pPr>
            <w:r>
              <w:rPr>
                <w:rFonts w:ascii="Times New Roman" w:cs="Times New Roman" w:eastAsia="Times New Roman" w:hAnsi="Times New Roman"/>
                <w:sz w:val="13"/>
                <w:szCs w:val="13"/>
                <w:color w:val="0000EE"/>
              </w:rPr>
              <w:t>Item 1. Identity of Directors, Senior Management and Advisors.</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0000EE"/>
              </w:rPr>
              <w:t>8</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3"/>
                <w:szCs w:val="13"/>
                <w:color w:val="0000EE"/>
              </w:rPr>
              <w:t>Item 2. Offer Statistics and Expected Timetable.</w:t>
            </w:r>
          </w:p>
        </w:tc>
        <w:tc>
          <w:tcPr>
            <w:tcW w:w="6460" w:type="dxa"/>
            <w:vAlign w:val="bottom"/>
            <w:gridSpan w:val="3"/>
          </w:tcPr>
          <w:p>
            <w:pPr>
              <w:spacing w:after="0"/>
              <w:rPr>
                <w:sz w:val="19"/>
                <w:szCs w:val="19"/>
                <w:color w:val="auto"/>
              </w:rPr>
            </w:pPr>
          </w:p>
        </w:tc>
        <w:tc>
          <w:tcPr>
            <w:tcW w:w="880" w:type="dxa"/>
            <w:vAlign w:val="bottom"/>
            <w:gridSpan w:val="3"/>
          </w:tcPr>
          <w:p>
            <w:pPr>
              <w:spacing w:after="0"/>
              <w:rPr>
                <w:sz w:val="19"/>
                <w:szCs w:val="19"/>
                <w:color w:val="auto"/>
              </w:rPr>
            </w:pPr>
          </w:p>
        </w:tc>
        <w:tc>
          <w:tcPr>
            <w:tcW w:w="6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1"/>
                <w:szCs w:val="11"/>
                <w:color w:val="0000EE"/>
                <w:w w:val="71"/>
              </w:rPr>
              <w:t>8</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3"/>
                <w:szCs w:val="13"/>
                <w:color w:val="0000EE"/>
              </w:rPr>
              <w:t>Item 3. Key Information.</w:t>
            </w:r>
          </w:p>
        </w:tc>
        <w:tc>
          <w:tcPr>
            <w:tcW w:w="1220" w:type="dxa"/>
            <w:vAlign w:val="bottom"/>
            <w:tcBorders>
              <w:top w:val="single" w:sz="8" w:color="0000EE"/>
            </w:tcBorders>
            <w:gridSpan w:val="6"/>
          </w:tcPr>
          <w:p>
            <w:pPr>
              <w:spacing w:after="0"/>
              <w:rPr>
                <w:sz w:val="19"/>
                <w:szCs w:val="19"/>
                <w:color w:val="auto"/>
              </w:rPr>
            </w:pPr>
          </w:p>
        </w:tc>
        <w:tc>
          <w:tcPr>
            <w:tcW w:w="7300" w:type="dxa"/>
            <w:vAlign w:val="bottom"/>
            <w:gridSpan w:val="7"/>
          </w:tcPr>
          <w:p>
            <w:pPr>
              <w:spacing w:after="0"/>
              <w:rPr>
                <w:sz w:val="19"/>
                <w:szCs w:val="19"/>
                <w:color w:val="auto"/>
              </w:rPr>
            </w:pPr>
          </w:p>
        </w:tc>
        <w:tc>
          <w:tcPr>
            <w:tcW w:w="880" w:type="dxa"/>
            <w:vAlign w:val="bottom"/>
            <w:gridSpan w:val="3"/>
          </w:tcPr>
          <w:p>
            <w:pPr>
              <w:spacing w:after="0"/>
              <w:rPr>
                <w:sz w:val="19"/>
                <w:szCs w:val="19"/>
                <w:color w:val="auto"/>
              </w:rPr>
            </w:pPr>
          </w:p>
        </w:tc>
        <w:tc>
          <w:tcPr>
            <w:tcW w:w="6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11"/>
                <w:szCs w:val="11"/>
                <w:color w:val="0000EE"/>
                <w:w w:val="71"/>
              </w:rPr>
              <w:t>8</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60" w:type="dxa"/>
            <w:vAlign w:val="bottom"/>
            <w:gridSpan w:val="16"/>
          </w:tcPr>
          <w:p>
            <w:pPr>
              <w:spacing w:after="0"/>
              <w:rPr>
                <w:sz w:val="20"/>
                <w:szCs w:val="20"/>
                <w:color w:val="auto"/>
              </w:rPr>
            </w:pPr>
            <w:r>
              <w:rPr>
                <w:rFonts w:ascii="Times New Roman" w:cs="Times New Roman" w:eastAsia="Times New Roman" w:hAnsi="Times New Roman"/>
                <w:sz w:val="13"/>
                <w:szCs w:val="13"/>
                <w:color w:val="0000EE"/>
              </w:rPr>
              <w:t>Item 4. Information on the Company.</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0000EE"/>
              </w:rPr>
              <w:t>52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20" w:type="dxa"/>
            <w:vAlign w:val="bottom"/>
            <w:gridSpan w:val="10"/>
          </w:tcPr>
          <w:p>
            <w:pPr>
              <w:spacing w:after="0"/>
              <w:rPr>
                <w:sz w:val="20"/>
                <w:szCs w:val="20"/>
                <w:color w:val="auto"/>
              </w:rPr>
            </w:pPr>
            <w:r>
              <w:rPr>
                <w:rFonts w:ascii="Times New Roman" w:cs="Times New Roman" w:eastAsia="Times New Roman" w:hAnsi="Times New Roman"/>
                <w:sz w:val="13"/>
                <w:szCs w:val="13"/>
                <w:color w:val="0000EE"/>
              </w:rPr>
              <w:t>Item 5. Operating and Financial Review and Prospects.</w:t>
            </w:r>
          </w:p>
        </w:tc>
        <w:tc>
          <w:tcPr>
            <w:tcW w:w="6940" w:type="dxa"/>
            <w:vAlign w:val="bottom"/>
            <w:gridSpan w:val="6"/>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0000EE"/>
              </w:rPr>
              <w:t>85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20" w:type="dxa"/>
            <w:vAlign w:val="bottom"/>
            <w:gridSpan w:val="10"/>
          </w:tcPr>
          <w:p>
            <w:pPr>
              <w:spacing w:after="0"/>
              <w:rPr>
                <w:sz w:val="20"/>
                <w:szCs w:val="20"/>
                <w:color w:val="auto"/>
              </w:rPr>
            </w:pPr>
            <w:r>
              <w:rPr>
                <w:rFonts w:ascii="Times New Roman" w:cs="Times New Roman" w:eastAsia="Times New Roman" w:hAnsi="Times New Roman"/>
                <w:sz w:val="13"/>
                <w:szCs w:val="13"/>
                <w:color w:val="0000EE"/>
              </w:rPr>
              <w:t>Item 6. Directors, Senior Management and Employees.</w:t>
            </w:r>
          </w:p>
        </w:tc>
        <w:tc>
          <w:tcPr>
            <w:tcW w:w="6940" w:type="dxa"/>
            <w:vAlign w:val="bottom"/>
            <w:gridSpan w:val="6"/>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0000EE"/>
              </w:rPr>
              <w:t>105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0" w:type="dxa"/>
            <w:vAlign w:val="bottom"/>
            <w:gridSpan w:val="11"/>
          </w:tcPr>
          <w:p>
            <w:pPr>
              <w:spacing w:after="0"/>
              <w:rPr>
                <w:sz w:val="20"/>
                <w:szCs w:val="20"/>
                <w:color w:val="auto"/>
              </w:rPr>
            </w:pPr>
            <w:r>
              <w:rPr>
                <w:rFonts w:ascii="Times New Roman" w:cs="Times New Roman" w:eastAsia="Times New Roman" w:hAnsi="Times New Roman"/>
                <w:sz w:val="13"/>
                <w:szCs w:val="13"/>
                <w:color w:val="0000EE"/>
              </w:rPr>
              <w:t>Item 7. Major Shareholders and Related-Party Transactions.</w:t>
            </w:r>
          </w:p>
        </w:tc>
        <w:tc>
          <w:tcPr>
            <w:tcW w:w="6660" w:type="dxa"/>
            <w:vAlign w:val="bottom"/>
            <w:gridSpan w:val="5"/>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0000EE"/>
              </w:rPr>
              <w:t>113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8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3"/>
                <w:szCs w:val="13"/>
                <w:color w:val="0000EE"/>
              </w:rPr>
              <w:t>Item 8. Financial Information.</w:t>
            </w:r>
          </w:p>
        </w:tc>
        <w:tc>
          <w:tcPr>
            <w:tcW w:w="1580" w:type="dxa"/>
            <w:vAlign w:val="bottom"/>
            <w:gridSpan w:val="6"/>
          </w:tcPr>
          <w:p>
            <w:pPr>
              <w:spacing w:after="0"/>
              <w:rPr>
                <w:sz w:val="19"/>
                <w:szCs w:val="19"/>
                <w:color w:val="auto"/>
              </w:rPr>
            </w:pPr>
          </w:p>
        </w:tc>
        <w:tc>
          <w:tcPr>
            <w:tcW w:w="6660" w:type="dxa"/>
            <w:vAlign w:val="bottom"/>
            <w:gridSpan w:val="5"/>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3"/>
                <w:szCs w:val="13"/>
                <w:color w:val="0000EE"/>
                <w:w w:val="81"/>
              </w:rPr>
              <w:t>120</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60" w:type="dxa"/>
            <w:vAlign w:val="bottom"/>
            <w:gridSpan w:val="16"/>
          </w:tcPr>
          <w:p>
            <w:pPr>
              <w:spacing w:after="0"/>
              <w:rPr>
                <w:sz w:val="20"/>
                <w:szCs w:val="20"/>
                <w:color w:val="auto"/>
              </w:rPr>
            </w:pPr>
            <w:r>
              <w:rPr>
                <w:rFonts w:ascii="Times New Roman" w:cs="Times New Roman" w:eastAsia="Times New Roman" w:hAnsi="Times New Roman"/>
                <w:sz w:val="13"/>
                <w:szCs w:val="13"/>
                <w:color w:val="0000EE"/>
              </w:rPr>
              <w:t>Item 9. The Offer and Listing.</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0000EE"/>
              </w:rPr>
              <w:t>121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60" w:type="dxa"/>
            <w:vAlign w:val="bottom"/>
            <w:gridSpan w:val="16"/>
          </w:tcPr>
          <w:p>
            <w:pPr>
              <w:spacing w:after="0"/>
              <w:rPr>
                <w:sz w:val="20"/>
                <w:szCs w:val="20"/>
                <w:color w:val="auto"/>
              </w:rPr>
            </w:pPr>
            <w:r>
              <w:rPr>
                <w:rFonts w:ascii="Times New Roman" w:cs="Times New Roman" w:eastAsia="Times New Roman" w:hAnsi="Times New Roman"/>
                <w:sz w:val="13"/>
                <w:szCs w:val="13"/>
                <w:color w:val="0000EE"/>
              </w:rPr>
              <w:t>Item 10. Additional Information.</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0000EE"/>
              </w:rPr>
              <w:t>121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60" w:type="dxa"/>
            <w:vAlign w:val="bottom"/>
            <w:gridSpan w:val="16"/>
          </w:tcPr>
          <w:p>
            <w:pPr>
              <w:spacing w:after="0"/>
              <w:rPr>
                <w:sz w:val="20"/>
                <w:szCs w:val="20"/>
                <w:color w:val="auto"/>
              </w:rPr>
            </w:pPr>
            <w:r>
              <w:rPr>
                <w:rFonts w:ascii="Times New Roman" w:cs="Times New Roman" w:eastAsia="Times New Roman" w:hAnsi="Times New Roman"/>
                <w:sz w:val="13"/>
                <w:szCs w:val="13"/>
                <w:color w:val="0000EE"/>
              </w:rPr>
              <w:t>Item 11. Quantitative and Qualitative Disclosures about Market Risk.</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0000EE"/>
              </w:rPr>
              <w:t>130</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38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3"/>
                <w:szCs w:val="13"/>
                <w:color w:val="0000EE"/>
              </w:rPr>
              <w:t>Item 12. Description of Securities Other than Equity Securities.</w:t>
            </w:r>
          </w:p>
        </w:tc>
        <w:tc>
          <w:tcPr>
            <w:tcW w:w="300" w:type="dxa"/>
            <w:vAlign w:val="bottom"/>
            <w:tcBorders>
              <w:top w:val="single" w:sz="8" w:color="0000EE"/>
            </w:tcBorders>
            <w:gridSpan w:val="2"/>
          </w:tcPr>
          <w:p>
            <w:pPr>
              <w:spacing w:after="0"/>
              <w:rPr>
                <w:sz w:val="19"/>
                <w:szCs w:val="19"/>
                <w:color w:val="auto"/>
              </w:rPr>
            </w:pPr>
          </w:p>
        </w:tc>
        <w:tc>
          <w:tcPr>
            <w:tcW w:w="6180" w:type="dxa"/>
            <w:vAlign w:val="bottom"/>
            <w:gridSpan w:val="2"/>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Borders>
              <w:top w:val="single" w:sz="8" w:color="0000EE"/>
              <w:bottom w:val="single" w:sz="8" w:color="0000EE"/>
            </w:tcBorders>
            <w:gridSpan w:val="3"/>
          </w:tcPr>
          <w:p>
            <w:pPr>
              <w:jc w:val="right"/>
              <w:spacing w:after="0"/>
              <w:rPr>
                <w:sz w:val="20"/>
                <w:szCs w:val="20"/>
                <w:color w:val="auto"/>
              </w:rPr>
            </w:pPr>
            <w:r>
              <w:rPr>
                <w:rFonts w:ascii="Times New Roman" w:cs="Times New Roman" w:eastAsia="Times New Roman" w:hAnsi="Times New Roman"/>
                <w:sz w:val="13"/>
                <w:szCs w:val="13"/>
                <w:color w:val="0000EE"/>
                <w:w w:val="81"/>
              </w:rPr>
              <w:t>131</w:t>
            </w:r>
          </w:p>
        </w:tc>
        <w:tc>
          <w:tcPr>
            <w:tcW w:w="0" w:type="dxa"/>
            <w:vAlign w:val="bottom"/>
          </w:tcPr>
          <w:p>
            <w:pPr>
              <w:spacing w:after="0"/>
              <w:rPr>
                <w:sz w:val="1"/>
                <w:szCs w:val="1"/>
                <w:color w:val="auto"/>
              </w:rPr>
            </w:pPr>
          </w:p>
        </w:tc>
      </w:tr>
      <w:tr>
        <w:trPr>
          <w:trHeight w:val="220"/>
        </w:trPr>
        <w:tc>
          <w:tcPr>
            <w:tcW w:w="10340" w:type="dxa"/>
            <w:vAlign w:val="bottom"/>
            <w:gridSpan w:val="20"/>
          </w:tcPr>
          <w:p>
            <w:pPr>
              <w:spacing w:after="0"/>
              <w:rPr>
                <w:sz w:val="20"/>
                <w:szCs w:val="20"/>
                <w:color w:val="auto"/>
              </w:rPr>
            </w:pPr>
            <w:r>
              <w:rPr>
                <w:rFonts w:ascii="Times New Roman" w:cs="Times New Roman" w:eastAsia="Times New Roman" w:hAnsi="Times New Roman"/>
                <w:sz w:val="13"/>
                <w:szCs w:val="13"/>
                <w:color w:val="0000EE"/>
              </w:rPr>
              <w:t>Part II.</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0000EE"/>
              </w:rPr>
              <w:t>132</w:t>
            </w:r>
          </w:p>
        </w:tc>
        <w:tc>
          <w:tcPr>
            <w:tcW w:w="0" w:type="dxa"/>
            <w:vAlign w:val="bottom"/>
          </w:tcPr>
          <w:p>
            <w:pPr>
              <w:spacing w:after="0"/>
              <w:rPr>
                <w:sz w:val="1"/>
                <w:szCs w:val="1"/>
                <w:color w:val="auto"/>
              </w:rPr>
            </w:pPr>
          </w:p>
        </w:tc>
      </w:tr>
      <w:tr>
        <w:trPr>
          <w:trHeight w:val="299"/>
        </w:trPr>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3"/>
                <w:szCs w:val="13"/>
                <w:color w:val="0000EE"/>
              </w:rPr>
              <w:t>Item 13. Defaults, Dividend Arrearages and Delinquencies.</w:t>
            </w:r>
          </w:p>
        </w:tc>
        <w:tc>
          <w:tcPr>
            <w:tcW w:w="6660" w:type="dxa"/>
            <w:vAlign w:val="bottom"/>
            <w:gridSpan w:val="5"/>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3"/>
          </w:tcPr>
          <w:p>
            <w:pPr>
              <w:jc w:val="right"/>
              <w:spacing w:after="0"/>
              <w:rPr>
                <w:sz w:val="20"/>
                <w:szCs w:val="20"/>
                <w:color w:val="auto"/>
              </w:rPr>
            </w:pPr>
            <w:r>
              <w:rPr>
                <w:rFonts w:ascii="Times New Roman" w:cs="Times New Roman" w:eastAsia="Times New Roman" w:hAnsi="Times New Roman"/>
                <w:sz w:val="13"/>
                <w:szCs w:val="13"/>
                <w:color w:val="0000EE"/>
                <w:w w:val="81"/>
              </w:rPr>
              <w:t>132</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3"/>
                <w:szCs w:val="13"/>
                <w:color w:val="0000EE"/>
              </w:rPr>
              <w:t>Item 14. Material Modifications to the Rights of Security Holders and Use of Proceeds.</w:t>
            </w:r>
          </w:p>
        </w:tc>
        <w:tc>
          <w:tcPr>
            <w:tcW w:w="5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3"/>
                <w:szCs w:val="13"/>
                <w:color w:val="0000EE"/>
                <w:w w:val="81"/>
              </w:rPr>
              <w:t>132</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3"/>
                <w:szCs w:val="13"/>
                <w:color w:val="0000EE"/>
              </w:rPr>
              <w:t>Item 15. Controls and Procedures.</w:t>
            </w:r>
          </w:p>
        </w:tc>
        <w:tc>
          <w:tcPr>
            <w:tcW w:w="8040" w:type="dxa"/>
            <w:vAlign w:val="bottom"/>
            <w:gridSpan w:val="9"/>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3"/>
                <w:szCs w:val="13"/>
                <w:color w:val="0000EE"/>
                <w:w w:val="81"/>
              </w:rPr>
              <w:t>132</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60" w:type="dxa"/>
            <w:vAlign w:val="bottom"/>
            <w:gridSpan w:val="16"/>
          </w:tcPr>
          <w:p>
            <w:pPr>
              <w:spacing w:after="0"/>
              <w:rPr>
                <w:sz w:val="20"/>
                <w:szCs w:val="20"/>
                <w:color w:val="auto"/>
              </w:rPr>
            </w:pPr>
            <w:r>
              <w:rPr>
                <w:rFonts w:ascii="Times New Roman" w:cs="Times New Roman" w:eastAsia="Times New Roman" w:hAnsi="Times New Roman"/>
                <w:sz w:val="13"/>
                <w:szCs w:val="13"/>
                <w:color w:val="0000EE"/>
              </w:rPr>
              <w:t>Item 16.</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0000EE"/>
              </w:rPr>
              <w:t>134</w:t>
            </w:r>
          </w:p>
        </w:tc>
        <w:tc>
          <w:tcPr>
            <w:tcW w:w="0" w:type="dxa"/>
            <w:vAlign w:val="bottom"/>
          </w:tcPr>
          <w:p>
            <w:pPr>
              <w:spacing w:after="0"/>
              <w:rPr>
                <w:sz w:val="1"/>
                <w:szCs w:val="1"/>
                <w:color w:val="auto"/>
              </w:rPr>
            </w:pPr>
          </w:p>
        </w:tc>
      </w:tr>
      <w:tr>
        <w:trPr>
          <w:trHeight w:val="220"/>
        </w:trPr>
        <w:tc>
          <w:tcPr>
            <w:tcW w:w="4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3"/>
                <w:szCs w:val="13"/>
                <w:color w:val="0000EE"/>
                <w:w w:val="98"/>
              </w:rPr>
              <w:t>Part III.</w:t>
            </w:r>
          </w:p>
        </w:tc>
        <w:tc>
          <w:tcPr>
            <w:tcW w:w="60" w:type="dxa"/>
            <w:vAlign w:val="bottom"/>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9420" w:type="dxa"/>
            <w:vAlign w:val="bottom"/>
            <w:gridSpan w:val="15"/>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Borders>
              <w:top w:val="single" w:sz="8" w:color="0000EE"/>
              <w:bottom w:val="single" w:sz="8" w:color="0000EE"/>
            </w:tcBorders>
            <w:gridSpan w:val="3"/>
          </w:tcPr>
          <w:p>
            <w:pPr>
              <w:jc w:val="right"/>
              <w:spacing w:after="0"/>
              <w:rPr>
                <w:sz w:val="20"/>
                <w:szCs w:val="20"/>
                <w:color w:val="auto"/>
              </w:rPr>
            </w:pPr>
            <w:r>
              <w:rPr>
                <w:rFonts w:ascii="Times New Roman" w:cs="Times New Roman" w:eastAsia="Times New Roman" w:hAnsi="Times New Roman"/>
                <w:sz w:val="13"/>
                <w:szCs w:val="13"/>
                <w:color w:val="0000EE"/>
                <w:w w:val="81"/>
              </w:rPr>
              <w:t>138</w:t>
            </w:r>
          </w:p>
        </w:tc>
        <w:tc>
          <w:tcPr>
            <w:tcW w:w="0" w:type="dxa"/>
            <w:vAlign w:val="bottom"/>
          </w:tcPr>
          <w:p>
            <w:pPr>
              <w:spacing w:after="0"/>
              <w:rPr>
                <w:sz w:val="1"/>
                <w:szCs w:val="1"/>
                <w:color w:val="auto"/>
              </w:rPr>
            </w:pPr>
          </w:p>
        </w:tc>
      </w:tr>
      <w:tr>
        <w:trPr>
          <w:trHeight w:val="299"/>
        </w:trPr>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60" w:type="dxa"/>
            <w:vAlign w:val="bottom"/>
            <w:gridSpan w:val="16"/>
          </w:tcPr>
          <w:p>
            <w:pPr>
              <w:spacing w:after="0"/>
              <w:rPr>
                <w:sz w:val="20"/>
                <w:szCs w:val="20"/>
                <w:color w:val="auto"/>
              </w:rPr>
            </w:pPr>
            <w:r>
              <w:rPr>
                <w:rFonts w:ascii="Times New Roman" w:cs="Times New Roman" w:eastAsia="Times New Roman" w:hAnsi="Times New Roman"/>
                <w:sz w:val="13"/>
                <w:szCs w:val="13"/>
                <w:color w:val="0000EE"/>
              </w:rPr>
              <w:t>Item 17. Financial Statements</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0000EE"/>
              </w:rPr>
              <w:t>138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40" w:type="dxa"/>
            <w:vAlign w:val="bottom"/>
            <w:gridSpan w:val="11"/>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60" w:type="dxa"/>
            <w:vAlign w:val="bottom"/>
            <w:gridSpan w:val="16"/>
          </w:tcPr>
          <w:p>
            <w:pPr>
              <w:spacing w:after="0"/>
              <w:rPr>
                <w:sz w:val="20"/>
                <w:szCs w:val="20"/>
                <w:color w:val="auto"/>
              </w:rPr>
            </w:pPr>
            <w:r>
              <w:rPr>
                <w:rFonts w:ascii="Times New Roman" w:cs="Times New Roman" w:eastAsia="Times New Roman" w:hAnsi="Times New Roman"/>
                <w:sz w:val="13"/>
                <w:szCs w:val="13"/>
                <w:color w:val="0000EE"/>
              </w:rPr>
              <w:t>Item 18. Financial Statements.</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0000EE"/>
              </w:rPr>
              <w:t>138</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rPr>
              <w:t>Item 19. Exhibits</w:t>
            </w:r>
          </w:p>
        </w:tc>
        <w:tc>
          <w:tcPr>
            <w:tcW w:w="700" w:type="dxa"/>
            <w:vAlign w:val="bottom"/>
            <w:tcBorders>
              <w:top w:val="single" w:sz="8" w:color="0000EE"/>
            </w:tcBorders>
            <w:gridSpan w:val="3"/>
          </w:tcPr>
          <w:p>
            <w:pPr>
              <w:spacing w:after="0"/>
              <w:rPr>
                <w:sz w:val="19"/>
                <w:szCs w:val="19"/>
                <w:color w:val="auto"/>
              </w:rPr>
            </w:pPr>
          </w:p>
        </w:tc>
        <w:tc>
          <w:tcPr>
            <w:tcW w:w="8240" w:type="dxa"/>
            <w:vAlign w:val="bottom"/>
            <w:gridSpan w:val="11"/>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Borders>
              <w:top w:val="single" w:sz="8" w:color="0000EE"/>
              <w:bottom w:val="single" w:sz="8" w:color="0000EE"/>
            </w:tcBorders>
            <w:gridSpan w:val="3"/>
          </w:tcPr>
          <w:p>
            <w:pPr>
              <w:jc w:val="right"/>
              <w:spacing w:after="0"/>
              <w:rPr>
                <w:sz w:val="20"/>
                <w:szCs w:val="20"/>
                <w:color w:val="auto"/>
              </w:rPr>
            </w:pPr>
            <w:r>
              <w:rPr>
                <w:rFonts w:ascii="Times New Roman" w:cs="Times New Roman" w:eastAsia="Times New Roman" w:hAnsi="Times New Roman"/>
                <w:sz w:val="13"/>
                <w:szCs w:val="13"/>
                <w:color w:val="0000EE"/>
                <w:w w:val="81"/>
              </w:rPr>
              <w:t>138</w:t>
            </w:r>
          </w:p>
        </w:tc>
        <w:tc>
          <w:tcPr>
            <w:tcW w:w="0" w:type="dxa"/>
            <w:vAlign w:val="bottom"/>
          </w:tcPr>
          <w:p>
            <w:pPr>
              <w:spacing w:after="0"/>
              <w:rPr>
                <w:sz w:val="1"/>
                <w:szCs w:val="1"/>
                <w:color w:val="auto"/>
              </w:rPr>
            </w:pPr>
          </w:p>
        </w:tc>
      </w:tr>
      <w:tr>
        <w:trPr>
          <w:trHeight w:val="479"/>
        </w:trPr>
        <w:tc>
          <w:tcPr>
            <w:tcW w:w="10340" w:type="dxa"/>
            <w:vAlign w:val="bottom"/>
            <w:gridSpan w:val="20"/>
          </w:tcPr>
          <w:p>
            <w:pPr>
              <w:jc w:val="right"/>
              <w:ind w:right="4620"/>
              <w:spacing w:after="0"/>
              <w:rPr>
                <w:sz w:val="20"/>
                <w:szCs w:val="20"/>
                <w:color w:val="auto"/>
              </w:rPr>
            </w:pPr>
            <w:r>
              <w:rPr>
                <w:rFonts w:ascii="Times New Roman" w:cs="Times New Roman" w:eastAsia="Times New Roman" w:hAnsi="Times New Roman"/>
                <w:sz w:val="13"/>
                <w:szCs w:val="13"/>
                <w:color w:val="auto"/>
              </w:rPr>
              <w:t>1</w:t>
            </w:r>
          </w:p>
        </w:tc>
        <w:tc>
          <w:tcPr>
            <w:tcW w:w="940" w:type="dxa"/>
            <w:vAlign w:val="bottom"/>
            <w:tcBorders>
              <w:bottom w:val="single" w:sz="8" w:color="0000EE"/>
            </w:tcBorders>
            <w:gridSpan w:val="4"/>
          </w:tcPr>
          <w:p>
            <w:pPr>
              <w:jc w:val="right"/>
              <w:spacing w:after="0"/>
              <w:rPr>
                <w:sz w:val="20"/>
                <w:szCs w:val="20"/>
                <w:color w:val="auto"/>
              </w:rPr>
            </w:pPr>
            <w:r>
              <w:rPr>
                <w:rFonts w:ascii="Times New Roman" w:cs="Times New Roman" w:eastAsia="Times New Roman" w:hAnsi="Times New Roman"/>
                <w:sz w:val="13"/>
                <w:szCs w:val="13"/>
                <w:color w:val="0000EE"/>
                <w:w w:val="98"/>
              </w:rPr>
              <w:t>Table of Contents</w:t>
            </w:r>
          </w:p>
        </w:tc>
        <w:tc>
          <w:tcPr>
            <w:tcW w:w="0" w:type="dxa"/>
            <w:vAlign w:val="bottom"/>
          </w:tcPr>
          <w:p>
            <w:pPr>
              <w:spacing w:after="0"/>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00" w:top="127" w:right="31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3"/>
          <w:szCs w:val="13"/>
          <w:b w:val="1"/>
          <w:bCs w:val="1"/>
          <w:color w:val="auto"/>
        </w:rPr>
        <w:t>ABOUT THIS REPORT</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This annual report on Form 20-F (this “Annual Report”) should be read in conjunction with our audited consolidated balance sheets as of December 31, 2025 and 2024, the related consolidated statements of comprehensive income, changes in shareholders’ equity and partners’ capital, and cash flows, for each of the three years in the period ended December 31, 2025, and the related notes included herein (the “Financial Statements”).</w:t>
      </w:r>
    </w:p>
    <w:p>
      <w:pPr>
        <w:spacing w:after="0" w:line="1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In this Annual Report, unless the context otherwise requires:</w:t>
      </w:r>
    </w:p>
    <w:p>
      <w:pPr>
        <w:spacing w:after="0" w:line="170" w:lineRule="exact"/>
        <w:rPr>
          <w:sz w:val="20"/>
          <w:szCs w:val="20"/>
          <w:color w:val="auto"/>
        </w:rPr>
      </w:pPr>
    </w:p>
    <w:p>
      <w:pPr>
        <w:ind w:left="960" w:hanging="481"/>
        <w:spacing w:after="0" w:line="292" w:lineRule="auto"/>
        <w:tabs>
          <w:tab w:leader="none" w:pos="960" w:val="left"/>
        </w:tabs>
        <w:numPr>
          <w:ilvl w:val="0"/>
          <w:numId w:val="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“Bonds” refers to €100.0 million and €150.0 million of senior unsecured bonds issued by CPLP PLC and guaranteed by the Company, which were listed on the Athens Stock Exchange in July 2022 and October 2021, respectively and the €250.0 million of senior unsecured bonds issued by the Company, which were listed on the Athens Stock Exchange in February 2026;</w:t>
      </w:r>
    </w:p>
    <w:p>
      <w:pPr>
        <w:spacing w:after="0" w:line="114" w:lineRule="exact"/>
        <w:rPr>
          <w:rFonts w:ascii="Arial" w:cs="Arial" w:eastAsia="Arial" w:hAnsi="Arial"/>
          <w:sz w:val="13"/>
          <w:szCs w:val="13"/>
          <w:b w:val="1"/>
          <w:bCs w:val="1"/>
          <w:color w:val="auto"/>
        </w:rPr>
      </w:pPr>
    </w:p>
    <w:p>
      <w:pPr>
        <w:ind w:left="960" w:hanging="481"/>
        <w:spacing w:after="0"/>
        <w:tabs>
          <w:tab w:leader="none" w:pos="960" w:val="left"/>
        </w:tabs>
        <w:numPr>
          <w:ilvl w:val="0"/>
          <w:numId w:val="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“Capital-Containers” refers to Capital-Containers Ship Management Corp.;</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“Capital Gas” refers to Capital Gas Corp.;</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“Capital-Gas Management” refers to Capital-Gas Ship Management Corp.;</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“Capital Maritime” refers to Capital Maritime &amp; Trading Corp.;</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“Capital Parties” refers to Capital Maritime, CGP LLC and Capital Gas;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“Capital Ship Management” refers to Capital Ship Management Corp.;</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“CGP LLC” refers to Capital GP L.L.C.; in its capacity as general partner of CPLP prior to the Conversion, CGP LLC is sometimes referred to as the “General Partner”;</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“common shares” refers to common shares of the Company, par value $0.01 per share;</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“common units” refers to common units representing limited partnership interests of the Partnership prior to the Conversion;</w:t>
      </w:r>
    </w:p>
    <w:p>
      <w:pPr>
        <w:spacing w:after="0" w:line="169" w:lineRule="exact"/>
        <w:rPr>
          <w:rFonts w:ascii="Arial" w:cs="Arial" w:eastAsia="Arial" w:hAnsi="Arial"/>
          <w:sz w:val="13"/>
          <w:szCs w:val="13"/>
          <w:b w:val="1"/>
          <w:bCs w:val="1"/>
          <w:color w:val="auto"/>
        </w:rPr>
      </w:pPr>
    </w:p>
    <w:p>
      <w:pPr>
        <w:ind w:left="960" w:hanging="481"/>
        <w:spacing w:after="0" w:line="265" w:lineRule="auto"/>
        <w:tabs>
          <w:tab w:leader="none" w:pos="960" w:val="left"/>
        </w:tabs>
        <w:numPr>
          <w:ilvl w:val="0"/>
          <w:numId w:val="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“Company”, “CCEC”, “we”, “us” or “our” refer to Capital Clean Energy Carriers Corp. (or, prior to the Conversion, CPLP) and, unless the context otherwise requires, its consolidated subsidiaries;</w:t>
      </w:r>
    </w:p>
    <w:p>
      <w:pPr>
        <w:spacing w:after="0" w:line="313" w:lineRule="exact"/>
        <w:rPr>
          <w:rFonts w:ascii="Arial" w:cs="Arial" w:eastAsia="Arial" w:hAnsi="Arial"/>
          <w:sz w:val="13"/>
          <w:szCs w:val="13"/>
          <w:b w:val="1"/>
          <w:bCs w:val="1"/>
          <w:color w:val="auto"/>
        </w:rPr>
      </w:pPr>
    </w:p>
    <w:p>
      <w:pPr>
        <w:ind w:left="960" w:hanging="481"/>
        <w:spacing w:after="0"/>
        <w:tabs>
          <w:tab w:leader="none" w:pos="960" w:val="left"/>
        </w:tabs>
        <w:numPr>
          <w:ilvl w:val="0"/>
          <w:numId w:val="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“conflicts committee” refers to the conflicts committee of our board of directors;</w:t>
      </w:r>
    </w:p>
    <w:p>
      <w:pPr>
        <w:spacing w:after="0" w:line="169" w:lineRule="exact"/>
        <w:rPr>
          <w:rFonts w:ascii="Arial" w:cs="Arial" w:eastAsia="Arial" w:hAnsi="Arial"/>
          <w:sz w:val="13"/>
          <w:szCs w:val="13"/>
          <w:b w:val="1"/>
          <w:bCs w:val="1"/>
          <w:color w:val="auto"/>
        </w:rPr>
      </w:pPr>
    </w:p>
    <w:p>
      <w:pPr>
        <w:ind w:left="960" w:hanging="481"/>
        <w:spacing w:after="0" w:line="292" w:lineRule="auto"/>
        <w:tabs>
          <w:tab w:leader="none" w:pos="960" w:val="left"/>
        </w:tabs>
        <w:numPr>
          <w:ilvl w:val="0"/>
          <w:numId w:val="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“Conversion” refers to our conversion, on August 26, 2024 (the “Effective Date”), from a Marshall Islands limited partnership named “Capital Product Partners L.P.” (the “Partnership” or “CPLP”) to a Marshall Islands corporation;</w:t>
      </w:r>
    </w:p>
    <w:p>
      <w:pPr>
        <w:spacing w:after="0" w:line="114" w:lineRule="exact"/>
        <w:rPr>
          <w:rFonts w:ascii="Arial" w:cs="Arial" w:eastAsia="Arial" w:hAnsi="Arial"/>
          <w:sz w:val="13"/>
          <w:szCs w:val="13"/>
          <w:b w:val="1"/>
          <w:bCs w:val="1"/>
          <w:color w:val="auto"/>
        </w:rPr>
      </w:pPr>
    </w:p>
    <w:p>
      <w:pPr>
        <w:ind w:left="960" w:hanging="481"/>
        <w:spacing w:after="0"/>
        <w:tabs>
          <w:tab w:leader="none" w:pos="960" w:val="left"/>
        </w:tabs>
        <w:numPr>
          <w:ilvl w:val="0"/>
          <w:numId w:val="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“CPLP PLC” refers to CPLP Shipping Holdings PLC, a public limited liability company and wholly owned subsidiary of CCEC;</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“debt” includes indebtedness under the financing arrangements;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“DF MG/C” refers to Dual Fuel Medium Gas Carriers;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“Executive Services Agreement” refers to the executive services agreement dated August 26, 2024 between us and CGP LLC;</w:t>
      </w:r>
    </w:p>
    <w:p>
      <w:pPr>
        <w:spacing w:after="0" w:line="169" w:lineRule="exact"/>
        <w:rPr>
          <w:sz w:val="20"/>
          <w:szCs w:val="20"/>
          <w:color w:val="auto"/>
        </w:rPr>
      </w:pPr>
    </w:p>
    <w:p>
      <w:pPr>
        <w:jc w:val="both"/>
        <w:ind w:left="5640"/>
        <w:spacing w:after="0"/>
        <w:tabs>
          <w:tab w:leader="none" w:pos="10320" w:val="left"/>
        </w:tabs>
        <w:rPr>
          <w:sz w:val="20"/>
          <w:szCs w:val="20"/>
          <w:color w:val="auto"/>
        </w:rPr>
      </w:pPr>
      <w:r>
        <w:rPr>
          <w:rFonts w:ascii="Times New Roman" w:cs="Times New Roman" w:eastAsia="Times New Roman" w:hAnsi="Times New Roman"/>
          <w:sz w:val="13"/>
          <w:szCs w:val="13"/>
          <w:color w:val="auto"/>
        </w:rPr>
        <w:t>2</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44" w:right="319" w:bottom="1440" w:gutter="0" w:footer="0" w:header="0"/>
        </w:sectPr>
      </w:pPr>
    </w:p>
    <w:bookmarkStart w:id="3" w:name="page4"/>
    <w:bookmarkEnd w:id="3"/>
    <w:p>
      <w:pPr>
        <w:ind w:left="481" w:hanging="481"/>
        <w:spacing w:after="0"/>
        <w:tabs>
          <w:tab w:leader="none" w:pos="481" w:val="left"/>
        </w:tabs>
        <w:numPr>
          <w:ilvl w:val="0"/>
          <w:numId w:val="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“financing arrangements” refers to our debt financing arrangements as well as to our sale-leaseback financing arrangements, seller’s credit agreements and the Bonds;</w:t>
      </w:r>
    </w:p>
    <w:p>
      <w:pPr>
        <w:spacing w:after="0" w:line="72" w:lineRule="exact"/>
        <w:rPr>
          <w:rFonts w:ascii="Arial" w:cs="Arial" w:eastAsia="Arial" w:hAnsi="Arial"/>
          <w:sz w:val="13"/>
          <w:szCs w:val="13"/>
          <w:b w:val="1"/>
          <w:bCs w:val="1"/>
          <w:color w:val="auto"/>
        </w:rPr>
      </w:pPr>
    </w:p>
    <w:p>
      <w:pPr>
        <w:ind w:left="481" w:hanging="481"/>
        <w:spacing w:after="0"/>
        <w:tabs>
          <w:tab w:leader="none" w:pos="481" w:val="left"/>
        </w:tabs>
        <w:numPr>
          <w:ilvl w:val="0"/>
          <w:numId w:val="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“Gas Fleet” refers to the 10 newbuild gas carriers, including four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/multi gas carriers and six LPG-ammonia carriers that we agreed to acquire from Capital Maritime in June 2024;</w:t>
      </w:r>
    </w:p>
    <w:p>
      <w:pPr>
        <w:spacing w:after="0" w:line="76" w:lineRule="exact"/>
        <w:rPr>
          <w:rFonts w:ascii="Arial" w:cs="Arial" w:eastAsia="Arial" w:hAnsi="Arial"/>
          <w:sz w:val="13"/>
          <w:szCs w:val="13"/>
          <w:b w:val="1"/>
          <w:bCs w:val="1"/>
          <w:color w:val="auto"/>
        </w:rPr>
      </w:pPr>
    </w:p>
    <w:p>
      <w:pPr>
        <w:ind w:left="481" w:hanging="481"/>
        <w:spacing w:after="0"/>
        <w:tabs>
          <w:tab w:leader="none" w:pos="481" w:val="left"/>
        </w:tabs>
        <w:numPr>
          <w:ilvl w:val="0"/>
          <w:numId w:val="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refers to liquefied carbon dioxide;</w:t>
      </w:r>
    </w:p>
    <w:p>
      <w:pPr>
        <w:spacing w:after="0" w:line="76" w:lineRule="exact"/>
        <w:rPr>
          <w:rFonts w:ascii="Arial" w:cs="Arial" w:eastAsia="Arial" w:hAnsi="Arial"/>
          <w:sz w:val="13"/>
          <w:szCs w:val="13"/>
          <w:b w:val="1"/>
          <w:bCs w:val="1"/>
          <w:color w:val="auto"/>
        </w:rPr>
      </w:pPr>
    </w:p>
    <w:p>
      <w:pPr>
        <w:ind w:left="521" w:hanging="521"/>
        <w:spacing w:after="0"/>
        <w:tabs>
          <w:tab w:leader="none" w:pos="521" w:val="left"/>
        </w:tabs>
        <w:numPr>
          <w:ilvl w:val="0"/>
          <w:numId w:val="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 HMG/C” refers to Handy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Multi-Gas Carriers;</w:t>
      </w:r>
    </w:p>
    <w:p>
      <w:pPr>
        <w:spacing w:after="0" w:line="172" w:lineRule="exact"/>
        <w:rPr>
          <w:rFonts w:ascii="Arial" w:cs="Arial" w:eastAsia="Arial" w:hAnsi="Arial"/>
          <w:sz w:val="13"/>
          <w:szCs w:val="13"/>
          <w:b w:val="1"/>
          <w:bCs w:val="1"/>
          <w:color w:val="auto"/>
        </w:rPr>
      </w:pPr>
    </w:p>
    <w:p>
      <w:pPr>
        <w:ind w:left="521" w:hanging="521"/>
        <w:spacing w:after="0"/>
        <w:tabs>
          <w:tab w:leader="none" w:pos="521" w:val="left"/>
        </w:tabs>
        <w:numPr>
          <w:ilvl w:val="0"/>
          <w:numId w:val="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“LNG” refers to liquefied natural gas;</w:t>
      </w:r>
    </w:p>
    <w:p>
      <w:pPr>
        <w:spacing w:after="0" w:line="169" w:lineRule="exact"/>
        <w:rPr>
          <w:rFonts w:ascii="Arial" w:cs="Arial" w:eastAsia="Arial" w:hAnsi="Arial"/>
          <w:sz w:val="13"/>
          <w:szCs w:val="13"/>
          <w:b w:val="1"/>
          <w:bCs w:val="1"/>
          <w:color w:val="auto"/>
        </w:rPr>
      </w:pPr>
    </w:p>
    <w:p>
      <w:pPr>
        <w:ind w:left="481" w:hanging="481"/>
        <w:spacing w:after="0"/>
        <w:tabs>
          <w:tab w:leader="none" w:pos="481" w:val="left"/>
        </w:tabs>
        <w:numPr>
          <w:ilvl w:val="0"/>
          <w:numId w:val="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“LNG/C” refers to LNG carriers;</w:t>
      </w:r>
    </w:p>
    <w:p>
      <w:pPr>
        <w:spacing w:after="0" w:line="169" w:lineRule="exact"/>
        <w:rPr>
          <w:rFonts w:ascii="Arial" w:cs="Arial" w:eastAsia="Arial" w:hAnsi="Arial"/>
          <w:sz w:val="13"/>
          <w:szCs w:val="13"/>
          <w:b w:val="1"/>
          <w:bCs w:val="1"/>
          <w:color w:val="auto"/>
        </w:rPr>
      </w:pPr>
    </w:p>
    <w:p>
      <w:pPr>
        <w:ind w:left="481" w:hanging="481"/>
        <w:spacing w:after="0"/>
        <w:tabs>
          <w:tab w:leader="none" w:pos="481" w:val="left"/>
        </w:tabs>
        <w:numPr>
          <w:ilvl w:val="0"/>
          <w:numId w:val="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“low carbon ammonia” refers to ammonia produced from renewable energy (green ammonia) or using carbon capture and storage technology (blue ammonia);</w:t>
      </w:r>
    </w:p>
    <w:p>
      <w:pPr>
        <w:spacing w:after="0" w:line="169" w:lineRule="exact"/>
        <w:rPr>
          <w:rFonts w:ascii="Arial" w:cs="Arial" w:eastAsia="Arial" w:hAnsi="Arial"/>
          <w:sz w:val="13"/>
          <w:szCs w:val="13"/>
          <w:b w:val="1"/>
          <w:bCs w:val="1"/>
          <w:color w:val="auto"/>
        </w:rPr>
      </w:pPr>
    </w:p>
    <w:p>
      <w:pPr>
        <w:ind w:left="481" w:hanging="481"/>
        <w:spacing w:after="0"/>
        <w:tabs>
          <w:tab w:leader="none" w:pos="481" w:val="left"/>
        </w:tabs>
        <w:numPr>
          <w:ilvl w:val="0"/>
          <w:numId w:val="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“LPG” refers to liquefied petroleum gas, including propane, butane, isobutane, propylene and mixtures of these gases;</w:t>
      </w:r>
    </w:p>
    <w:p>
      <w:pPr>
        <w:spacing w:after="0" w:line="169" w:lineRule="exact"/>
        <w:rPr>
          <w:rFonts w:ascii="Arial" w:cs="Arial" w:eastAsia="Arial" w:hAnsi="Arial"/>
          <w:sz w:val="13"/>
          <w:szCs w:val="13"/>
          <w:b w:val="1"/>
          <w:bCs w:val="1"/>
          <w:color w:val="auto"/>
        </w:rPr>
      </w:pPr>
    </w:p>
    <w:p>
      <w:pPr>
        <w:ind w:left="481" w:hanging="481"/>
        <w:spacing w:after="0"/>
        <w:tabs>
          <w:tab w:leader="none" w:pos="481" w:val="left"/>
        </w:tabs>
        <w:numPr>
          <w:ilvl w:val="0"/>
          <w:numId w:val="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“LPG carriage” or “LPG shipping” refers to existing LPG and ammonia (excluding low carbon ammonia) shipping markets;</w:t>
      </w:r>
    </w:p>
    <w:p>
      <w:pPr>
        <w:spacing w:after="0" w:line="169" w:lineRule="exact"/>
        <w:rPr>
          <w:rFonts w:ascii="Arial" w:cs="Arial" w:eastAsia="Arial" w:hAnsi="Arial"/>
          <w:sz w:val="13"/>
          <w:szCs w:val="13"/>
          <w:b w:val="1"/>
          <w:bCs w:val="1"/>
          <w:color w:val="auto"/>
        </w:rPr>
      </w:pPr>
    </w:p>
    <w:p>
      <w:pPr>
        <w:ind w:left="481" w:hanging="481"/>
        <w:spacing w:after="0"/>
        <w:tabs>
          <w:tab w:leader="none" w:pos="481" w:val="left"/>
        </w:tabs>
        <w:numPr>
          <w:ilvl w:val="0"/>
          <w:numId w:val="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“LPG carrier” refers to ocean-going vessels capable of transporting LPG and/or ammonia;</w:t>
      </w:r>
    </w:p>
    <w:p>
      <w:pPr>
        <w:spacing w:after="0" w:line="169" w:lineRule="exact"/>
        <w:rPr>
          <w:rFonts w:ascii="Arial" w:cs="Arial" w:eastAsia="Arial" w:hAnsi="Arial"/>
          <w:sz w:val="13"/>
          <w:szCs w:val="13"/>
          <w:b w:val="1"/>
          <w:bCs w:val="1"/>
          <w:color w:val="auto"/>
        </w:rPr>
      </w:pPr>
    </w:p>
    <w:p>
      <w:pPr>
        <w:ind w:left="481" w:hanging="481"/>
        <w:spacing w:after="0"/>
        <w:tabs>
          <w:tab w:leader="none" w:pos="481" w:val="left"/>
        </w:tabs>
        <w:numPr>
          <w:ilvl w:val="0"/>
          <w:numId w:val="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“Managers” refers to our managers, Capital-Containers, Capital Ship Management and Capital-Gas Management;</w:t>
      </w:r>
    </w:p>
    <w:p>
      <w:pPr>
        <w:spacing w:after="0" w:line="169" w:lineRule="exact"/>
        <w:rPr>
          <w:rFonts w:ascii="Arial" w:cs="Arial" w:eastAsia="Arial" w:hAnsi="Arial"/>
          <w:sz w:val="13"/>
          <w:szCs w:val="13"/>
          <w:b w:val="1"/>
          <w:bCs w:val="1"/>
          <w:color w:val="auto"/>
        </w:rPr>
      </w:pPr>
    </w:p>
    <w:p>
      <w:pPr>
        <w:ind w:left="481" w:hanging="481"/>
        <w:spacing w:after="0"/>
        <w:tabs>
          <w:tab w:leader="none" w:pos="481" w:val="left"/>
        </w:tabs>
        <w:numPr>
          <w:ilvl w:val="0"/>
          <w:numId w:val="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“MG/C” refers to Medium Gas Carriers;</w:t>
      </w:r>
    </w:p>
    <w:p>
      <w:pPr>
        <w:spacing w:after="0" w:line="169" w:lineRule="exact"/>
        <w:rPr>
          <w:rFonts w:ascii="Arial" w:cs="Arial" w:eastAsia="Arial" w:hAnsi="Arial"/>
          <w:sz w:val="13"/>
          <w:szCs w:val="13"/>
          <w:b w:val="1"/>
          <w:bCs w:val="1"/>
          <w:color w:val="auto"/>
        </w:rPr>
      </w:pPr>
    </w:p>
    <w:p>
      <w:pPr>
        <w:ind w:left="481" w:hanging="481"/>
        <w:spacing w:after="0"/>
        <w:tabs>
          <w:tab w:leader="none" w:pos="481" w:val="left"/>
        </w:tabs>
        <w:numPr>
          <w:ilvl w:val="0"/>
          <w:numId w:val="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“Newbuild LNG/C Vessels” refers to the Umbrella Agreement Vessels and the three LNG/C vessels that we agreed to acquire as announced on December 29, 2025;</w:t>
      </w:r>
    </w:p>
    <w:p>
      <w:pPr>
        <w:spacing w:after="0" w:line="169" w:lineRule="exact"/>
        <w:rPr>
          <w:rFonts w:ascii="Arial" w:cs="Arial" w:eastAsia="Arial" w:hAnsi="Arial"/>
          <w:sz w:val="13"/>
          <w:szCs w:val="13"/>
          <w:b w:val="1"/>
          <w:bCs w:val="1"/>
          <w:color w:val="auto"/>
        </w:rPr>
      </w:pPr>
    </w:p>
    <w:p>
      <w:pPr>
        <w:ind w:left="481" w:hanging="481"/>
        <w:spacing w:after="0"/>
        <w:tabs>
          <w:tab w:leader="none" w:pos="481" w:val="left"/>
        </w:tabs>
        <w:numPr>
          <w:ilvl w:val="0"/>
          <w:numId w:val="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“Registration Rights Agreement” refers to the registration rights agreement dated August 26, 2024 between us, the Capital Parties, Paparebecorp Limited and Ascetico Limited;</w:t>
      </w:r>
    </w:p>
    <w:p>
      <w:pPr>
        <w:spacing w:after="0" w:line="169" w:lineRule="exact"/>
        <w:rPr>
          <w:rFonts w:ascii="Arial" w:cs="Arial" w:eastAsia="Arial" w:hAnsi="Arial"/>
          <w:sz w:val="13"/>
          <w:szCs w:val="13"/>
          <w:b w:val="1"/>
          <w:bCs w:val="1"/>
          <w:color w:val="auto"/>
        </w:rPr>
      </w:pPr>
    </w:p>
    <w:p>
      <w:pPr>
        <w:ind w:left="481" w:hanging="481"/>
        <w:spacing w:after="0"/>
        <w:tabs>
          <w:tab w:leader="none" w:pos="481" w:val="left"/>
        </w:tabs>
        <w:numPr>
          <w:ilvl w:val="0"/>
          <w:numId w:val="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“Shareholders’ Agreement” refers to the shareholders’ agreement dated August 26, 2024 among us and the Capital Parties;</w:t>
      </w:r>
    </w:p>
    <w:p>
      <w:pPr>
        <w:spacing w:after="0" w:line="169" w:lineRule="exact"/>
        <w:rPr>
          <w:rFonts w:ascii="Arial" w:cs="Arial" w:eastAsia="Arial" w:hAnsi="Arial"/>
          <w:sz w:val="13"/>
          <w:szCs w:val="13"/>
          <w:b w:val="1"/>
          <w:bCs w:val="1"/>
          <w:color w:val="auto"/>
        </w:rPr>
      </w:pPr>
    </w:p>
    <w:p>
      <w:pPr>
        <w:ind w:left="481" w:hanging="481"/>
        <w:spacing w:after="0"/>
        <w:tabs>
          <w:tab w:leader="none" w:pos="481" w:val="left"/>
        </w:tabs>
        <w:numPr>
          <w:ilvl w:val="0"/>
          <w:numId w:val="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“Umbrella Agreement” refers to the umbrella agreement, which we entered into on November 13, 2023 with Capital Maritime and CGP LLC;</w:t>
      </w:r>
    </w:p>
    <w:p>
      <w:pPr>
        <w:spacing w:after="0" w:line="169" w:lineRule="exact"/>
        <w:rPr>
          <w:rFonts w:ascii="Arial" w:cs="Arial" w:eastAsia="Arial" w:hAnsi="Arial"/>
          <w:sz w:val="13"/>
          <w:szCs w:val="13"/>
          <w:b w:val="1"/>
          <w:bCs w:val="1"/>
          <w:color w:val="auto"/>
        </w:rPr>
      </w:pPr>
    </w:p>
    <w:p>
      <w:pPr>
        <w:ind w:left="481" w:hanging="481"/>
        <w:spacing w:after="0"/>
        <w:tabs>
          <w:tab w:leader="none" w:pos="481" w:val="left"/>
        </w:tabs>
        <w:numPr>
          <w:ilvl w:val="0"/>
          <w:numId w:val="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“Umbrella Agreement Vessels” refers to the 11 newbuild LNG/C vessels we agreed to acquire from Capital Maritime in November 2023 pursuant to the Umbrella Agreement;</w:t>
      </w:r>
    </w:p>
    <w:p>
      <w:pPr>
        <w:spacing w:after="0" w:line="169" w:lineRule="exact"/>
        <w:rPr>
          <w:rFonts w:ascii="Arial" w:cs="Arial" w:eastAsia="Arial" w:hAnsi="Arial"/>
          <w:sz w:val="13"/>
          <w:szCs w:val="13"/>
          <w:b w:val="1"/>
          <w:bCs w:val="1"/>
          <w:color w:val="auto"/>
        </w:rPr>
      </w:pPr>
    </w:p>
    <w:p>
      <w:pPr>
        <w:ind w:left="481" w:hanging="481"/>
        <w:spacing w:after="0"/>
        <w:tabs>
          <w:tab w:leader="none" w:pos="481" w:val="left"/>
        </w:tabs>
        <w:numPr>
          <w:ilvl w:val="0"/>
          <w:numId w:val="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“Under Construction Fleet” refers to the nine Newbuild LNG/C Vessels and the nine Gas Fleet vessels that have not yet been delivered to the Company as of the date of this Annual Report.</w:t>
      </w:r>
    </w:p>
    <w:p>
      <w:pPr>
        <w:spacing w:after="0" w:line="329" w:lineRule="exact"/>
        <w:rPr>
          <w:sz w:val="20"/>
          <w:szCs w:val="20"/>
          <w:color w:val="auto"/>
        </w:rPr>
      </w:pPr>
    </w:p>
    <w:p>
      <w:pPr>
        <w:jc w:val="both"/>
        <w:ind w:left="5161"/>
        <w:spacing w:after="0"/>
        <w:tabs>
          <w:tab w:leader="none" w:pos="9841" w:val="left"/>
        </w:tabs>
        <w:rPr>
          <w:sz w:val="20"/>
          <w:szCs w:val="20"/>
          <w:color w:val="auto"/>
        </w:rPr>
      </w:pPr>
      <w:r>
        <w:rPr>
          <w:rFonts w:ascii="Times New Roman" w:cs="Times New Roman" w:eastAsia="Times New Roman" w:hAnsi="Times New Roman"/>
          <w:sz w:val="13"/>
          <w:szCs w:val="13"/>
          <w:color w:val="auto"/>
        </w:rPr>
        <w:t>3</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14605</wp:posOffset>
            </wp:positionV>
            <wp:extent cx="716788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0801"/>
          </w:cols>
          <w:pgMar w:left="779" w:top="646"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3"/>
          <w:szCs w:val="13"/>
          <w:b w:val="1"/>
          <w:bCs w:val="1"/>
          <w:color w:val="auto"/>
        </w:rPr>
        <w:t>UMBRELLA AGREEMENT AND UNDER CONSTRUCTION FLEET</w:t>
      </w:r>
    </w:p>
    <w:p>
      <w:pPr>
        <w:spacing w:after="0" w:line="172"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On November 13, 2023, we entered into the Umbrella Agreement with Capital Maritime and CGP LLC, which provides for the acquisition by the Company of 11 newbuild LNG/C vessels for a total acquisition price of $3,130.0 million. Each Umbrella Agreement Vessel has or will have a capacity of 174,000 Cubic Meters (“CBM”) and was built or is under construction at Hyundai Heavy Industries Co., LTD and HD Hyundai Samho Co., Ltd, South Korea (collectively, “Hyundai”). On December 21, 2023 we closed the Umbrella Agreement and entered into 11 share purchase agreements to acquire 100% of the equity interests in each vessel-owning company of the Umbrella Agreement Vessels (the “Vessel SPAs”). On December 21, 2023 we took delivery of the first Umbrella Agreement Vessel pursuant to the Umbrella Agreement, the LNG/C Amore Mio I.</w:t>
      </w:r>
    </w:p>
    <w:p>
      <w:pPr>
        <w:spacing w:after="0" w:line="133"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Upon entry into the Vessel SPAs for the LNG/C vessels Axios II, Assos, Apostolos, Aktoras, Archimidis and Agamemnon (the “Initial Vessels”), we paid to Capital Maritime a deposit of $174.4 million, or 10% of the aggregate acquisition price of the Initial Vessels. We closed the Vessel SPAs for the Axios II, Assos, Aktoras and Apostolos upon delivery of each vessel on January 2, 2024, May 31, 2024, June 5, 2024 and June 28, 2024, respectively, and we expect to complete the remaining acquisitions of each of the vessel-owning companies of the Archimidis and Agamemnon upon each vessel’s delivery from Hyundai during the second quarter of 2026 and the first quarter of 2027, respectively. The remaining purchase price with respect to each Initial Vessel will be paid upon delivery of such vessel and closing of the applicable Vessel SPA, with a total of $489.3 million remaining due for the Initial Vessels.</w:t>
      </w:r>
    </w:p>
    <w:p>
      <w:pPr>
        <w:spacing w:after="0" w:line="123" w:lineRule="exact"/>
        <w:rPr>
          <w:sz w:val="20"/>
          <w:szCs w:val="20"/>
          <w:color w:val="auto"/>
        </w:rPr>
      </w:pPr>
    </w:p>
    <w:p>
      <w:pPr>
        <w:jc w:val="both"/>
        <w:ind w:firstLine="479"/>
        <w:spacing w:after="0" w:line="242" w:lineRule="auto"/>
        <w:rPr>
          <w:sz w:val="20"/>
          <w:szCs w:val="20"/>
          <w:color w:val="auto"/>
        </w:rPr>
      </w:pPr>
      <w:r>
        <w:rPr>
          <w:rFonts w:ascii="Times New Roman" w:cs="Times New Roman" w:eastAsia="Times New Roman" w:hAnsi="Times New Roman"/>
          <w:sz w:val="13"/>
          <w:szCs w:val="13"/>
          <w:color w:val="auto"/>
        </w:rPr>
        <w:t>Upon entry into the Vessel SPAs for LNG/C vessels Alcaios I, Antaios I, Athlos and Archon (the “Remaining Vessels”), the Company paid Capital Maritime $138.1 million to acquire 100% of the equity interests in each of the vessel-owning companies of the Remaining Vessels, which are expected to be delivered to the Company between the third quarter of 2026 and the first quarter of 2027. In addition to $390.2 million that we have paid to-date to Capital Maritime and Hyundai, we expect to pay an additional amount of $657.8 million to Hyundai in pre-delivery and delivery installments for the Remaining Vessels.</w:t>
      </w:r>
    </w:p>
    <w:p>
      <w:pPr>
        <w:spacing w:after="0" w:line="286" w:lineRule="exact"/>
        <w:rPr>
          <w:sz w:val="20"/>
          <w:szCs w:val="20"/>
          <w:color w:val="auto"/>
        </w:rPr>
      </w:pPr>
    </w:p>
    <w:p>
      <w:pPr>
        <w:jc w:val="both"/>
        <w:ind w:firstLine="479"/>
        <w:spacing w:after="0" w:line="218" w:lineRule="auto"/>
        <w:rPr>
          <w:sz w:val="20"/>
          <w:szCs w:val="20"/>
          <w:color w:val="auto"/>
        </w:rPr>
      </w:pPr>
      <w:r>
        <w:rPr>
          <w:rFonts w:ascii="Times New Roman" w:cs="Times New Roman" w:eastAsia="Times New Roman" w:hAnsi="Times New Roman"/>
          <w:sz w:val="13"/>
          <w:szCs w:val="13"/>
          <w:color w:val="auto"/>
        </w:rPr>
        <w:t>In addition, on June 3, 2024, we announced an investment in 10 newbuild gas carriers for $756.0 million with expected deliveries between the first quarter of 2026 and the third quarter of 2027. The Gas Fleet is composed of six MG/C vessels and four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 HMG/C vessels that can also carry LPG, ammonia and other related cargoes. The ship building contracts for the Gas Fleet were initially entered into by Capital Maritime. The acquisition/contract prices to be paid by the Company correspond to the actual ship building cost for all vessels in the Gas Fleet except for two HMD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vessels, which were acquired pursuant to the rights of first refusal agreed under the Umbrella Agreement. The vessels in the Gas Fleet were ordered by Capital Maritime in July 2023 and were acquired by the Company at the same cost that the last two HMD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vessels were contracted for in January 2024. The Company has reimbursed Capital Maritime for a total amount of $74.7 million representing advances made to the shipyards by Capital Maritime under certain of the ship building contracts and a premium of $11.5 million. Furthermore, in addition to $315.4 million that we have paid to-date to Capital Maritime and shipyards, we expect to pay an additional amount of $440.6 million to shipyards in pre-delivery and delivery installments for the Gas Fleet. The first vessel in the Gas Fleet, the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 HMG/C Active, was delivered from the shipyard on January 5, 2026.</w:t>
      </w:r>
    </w:p>
    <w:p>
      <w:pPr>
        <w:spacing w:after="0" w:line="151" w:lineRule="exact"/>
        <w:rPr>
          <w:sz w:val="20"/>
          <w:szCs w:val="20"/>
          <w:color w:val="auto"/>
        </w:rPr>
      </w:pPr>
    </w:p>
    <w:p>
      <w:pPr>
        <w:jc w:val="both"/>
        <w:ind w:firstLine="479"/>
        <w:spacing w:after="0" w:line="286" w:lineRule="auto"/>
        <w:rPr>
          <w:sz w:val="20"/>
          <w:szCs w:val="20"/>
          <w:color w:val="auto"/>
        </w:rPr>
      </w:pPr>
      <w:r>
        <w:rPr>
          <w:rFonts w:ascii="Times New Roman" w:cs="Times New Roman" w:eastAsia="Times New Roman" w:hAnsi="Times New Roman"/>
          <w:sz w:val="13"/>
          <w:szCs w:val="13"/>
          <w:color w:val="auto"/>
        </w:rPr>
        <w:t>On December 29, 2025, we announced an order for three additional latest technology LNG/C vessels with a total contract price of $769.5 million to be built at Hyundai with expected deliveries between the third quarter of 2028 and the first quarter of 2029. In addition to $37.0 million that we have paid to-date, we expect to pay an additional amount of $707.0 million to Hyundai in pre-delivery and delivery installments.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CORPORATE CONVERSION AND CONTAINER VESSEL DIVESTMENT</w:t>
      </w:r>
    </w:p>
    <w:p>
      <w:pPr>
        <w:spacing w:after="0" w:line="172"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We were originally formed as a Marshall Islands limited partnership named “Capital Product Partners L.P.”, and on the Effective Date, converted into a Marshall Islands corporation named “Capital Clean Energy Carriers Corp.”. Please read “Item 4. Information on the Company—A. History and Development of the Company—Developments in 2024” for further information on the Conversion. Following our announcement on November 13, 2023 of our intention to shift our business focus towards LNG and energy transition shipping and gradually divest from our non-core assets (legacy container vessels), since December 2023 we have completed the sale of 14 legacy container vessels as set forth in the following table.</w:t>
      </w:r>
    </w:p>
    <w:p>
      <w:pPr>
        <w:spacing w:after="0" w:line="131" w:lineRule="exact"/>
        <w:rPr>
          <w:sz w:val="20"/>
          <w:szCs w:val="20"/>
          <w:color w:val="auto"/>
        </w:rPr>
      </w:pPr>
    </w:p>
    <w:p>
      <w:pPr>
        <w:jc w:val="both"/>
        <w:ind w:left="5640"/>
        <w:spacing w:after="0"/>
        <w:tabs>
          <w:tab w:leader="none" w:pos="10320" w:val="left"/>
        </w:tabs>
        <w:rPr>
          <w:sz w:val="20"/>
          <w:szCs w:val="20"/>
          <w:color w:val="auto"/>
        </w:rPr>
      </w:pPr>
      <w:r>
        <w:rPr>
          <w:rFonts w:ascii="Times New Roman" w:cs="Times New Roman" w:eastAsia="Times New Roman" w:hAnsi="Times New Roman"/>
          <w:sz w:val="13"/>
          <w:szCs w:val="13"/>
          <w:color w:val="auto"/>
        </w:rPr>
        <w:t>4</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83"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49"/>
        </w:trPr>
        <w:tc>
          <w:tcPr>
            <w:tcW w:w="6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Twenty-foot</w:t>
            </w:r>
          </w:p>
        </w:tc>
        <w:tc>
          <w:tcPr>
            <w:tcW w:w="140" w:type="dxa"/>
            <w:vAlign w:val="bottom"/>
            <w:shd w:val="clear" w:color="auto" w:fill="CCEEFF"/>
          </w:tcPr>
          <w:p>
            <w:pPr>
              <w:spacing w:after="0"/>
              <w:rPr>
                <w:sz w:val="12"/>
                <w:szCs w:val="12"/>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Memorandum of</w:t>
            </w:r>
          </w:p>
        </w:tc>
        <w:tc>
          <w:tcPr>
            <w:tcW w:w="1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0"/>
        </w:trPr>
        <w:tc>
          <w:tcPr>
            <w:tcW w:w="6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Equivalent Unit</w:t>
            </w:r>
          </w:p>
        </w:tc>
        <w:tc>
          <w:tcPr>
            <w:tcW w:w="140" w:type="dxa"/>
            <w:vAlign w:val="bottom"/>
            <w:shd w:val="clear" w:color="auto" w:fill="CCEEFF"/>
          </w:tcPr>
          <w:p>
            <w:pPr>
              <w:spacing w:after="0"/>
              <w:rPr>
                <w:sz w:val="13"/>
                <w:szCs w:val="13"/>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Agreement</w:t>
            </w:r>
          </w:p>
        </w:tc>
        <w:tc>
          <w:tcPr>
            <w:tcW w:w="140" w:type="dxa"/>
            <w:vAlign w:val="bottom"/>
            <w:shd w:val="clear" w:color="auto" w:fill="CCEEFF"/>
          </w:tcPr>
          <w:p>
            <w:pPr>
              <w:spacing w:after="0"/>
              <w:rPr>
                <w:sz w:val="13"/>
                <w:szCs w:val="13"/>
                <w:color w:val="auto"/>
              </w:rPr>
            </w:pPr>
          </w:p>
        </w:tc>
        <w:tc>
          <w:tcPr>
            <w:tcW w:w="22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b w:val="1"/>
                <w:bCs w:val="1"/>
                <w:color w:val="auto"/>
              </w:rPr>
              <w:t>Delivery/Expected</w:t>
            </w:r>
          </w:p>
        </w:tc>
      </w:tr>
      <w:tr>
        <w:trPr>
          <w:trHeight w:val="174"/>
        </w:trPr>
        <w:tc>
          <w:tcPr>
            <w:tcW w:w="60" w:type="dxa"/>
            <w:vAlign w:val="bottom"/>
            <w:tcBorders>
              <w:bottom w:val="single" w:sz="8" w:color="CCEEFF"/>
            </w:tcBorders>
            <w:shd w:val="clear" w:color="auto" w:fill="CCEEFF"/>
          </w:tcPr>
          <w:p>
            <w:pPr>
              <w:spacing w:after="0"/>
              <w:rPr>
                <w:sz w:val="15"/>
                <w:szCs w:val="15"/>
                <w:color w:val="auto"/>
              </w:rPr>
            </w:pPr>
          </w:p>
        </w:tc>
        <w:tc>
          <w:tcPr>
            <w:tcW w:w="236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3"/>
                <w:szCs w:val="13"/>
                <w:b w:val="1"/>
                <w:bCs w:val="1"/>
                <w:color w:val="auto"/>
              </w:rPr>
              <w:t>Name of Vessel</w:t>
            </w:r>
          </w:p>
        </w:tc>
        <w:tc>
          <w:tcPr>
            <w:tcW w:w="140" w:type="dxa"/>
            <w:vAlign w:val="bottom"/>
            <w:tcBorders>
              <w:bottom w:val="single" w:sz="8" w:color="CCEEFF"/>
            </w:tcBorders>
            <w:shd w:val="clear" w:color="auto" w:fill="CCEEFF"/>
          </w:tcPr>
          <w:p>
            <w:pPr>
              <w:spacing w:after="0"/>
              <w:rPr>
                <w:sz w:val="15"/>
                <w:szCs w:val="15"/>
                <w:color w:val="auto"/>
              </w:rPr>
            </w:pPr>
          </w:p>
        </w:tc>
        <w:tc>
          <w:tcPr>
            <w:tcW w:w="3020" w:type="dxa"/>
            <w:vAlign w:val="bottom"/>
            <w:tcBorders>
              <w:bottom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3"/>
                <w:szCs w:val="13"/>
                <w:b w:val="1"/>
                <w:bCs w:val="1"/>
                <w:color w:val="auto"/>
              </w:rPr>
              <w:t>Type</w:t>
            </w:r>
          </w:p>
        </w:tc>
        <w:tc>
          <w:tcPr>
            <w:tcW w:w="1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(“TEU”)</w:t>
            </w:r>
          </w:p>
        </w:tc>
        <w:tc>
          <w:tcPr>
            <w:tcW w:w="14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40" w:type="dxa"/>
            <w:vAlign w:val="bottom"/>
            <w:tcBorders>
              <w:bottom w:val="single" w:sz="8" w:color="CCEEFF"/>
            </w:tcBorders>
            <w:shd w:val="clear" w:color="auto" w:fill="CCEEFF"/>
          </w:tcPr>
          <w:p>
            <w:pPr>
              <w:spacing w:after="0"/>
              <w:rPr>
                <w:sz w:val="15"/>
                <w:szCs w:val="15"/>
                <w:color w:val="auto"/>
              </w:rPr>
            </w:pPr>
          </w:p>
        </w:tc>
        <w:tc>
          <w:tcPr>
            <w:tcW w:w="22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3"/>
                <w:szCs w:val="13"/>
                <w:b w:val="1"/>
                <w:bCs w:val="1"/>
                <w:color w:val="auto"/>
              </w:rPr>
              <w:t>Delivery</w:t>
            </w:r>
          </w:p>
        </w:tc>
        <w:tc>
          <w:tcPr>
            <w:tcW w:w="60" w:type="dxa"/>
            <w:vAlign w:val="bottom"/>
            <w:tcBorders>
              <w:bottom w:val="single" w:sz="8" w:color="CCEEFF"/>
            </w:tcBorders>
            <w:shd w:val="clear" w:color="auto" w:fill="CCEEFF"/>
          </w:tcPr>
          <w:p>
            <w:pPr>
              <w:spacing w:after="0"/>
              <w:rPr>
                <w:sz w:val="15"/>
                <w:szCs w:val="15"/>
                <w:color w:val="auto"/>
              </w:rPr>
            </w:pPr>
          </w:p>
        </w:tc>
      </w:tr>
      <w:tr>
        <w:trPr>
          <w:trHeight w:val="150"/>
        </w:trPr>
        <w:tc>
          <w:tcPr>
            <w:tcW w:w="60" w:type="dxa"/>
            <w:vAlign w:val="bottom"/>
          </w:tcPr>
          <w:p>
            <w:pPr>
              <w:spacing w:after="0"/>
              <w:rPr>
                <w:sz w:val="13"/>
                <w:szCs w:val="13"/>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M/V Akadimos</w:t>
            </w:r>
          </w:p>
        </w:tc>
        <w:tc>
          <w:tcPr>
            <w:tcW w:w="140" w:type="dxa"/>
            <w:vAlign w:val="bottom"/>
          </w:tcPr>
          <w:p>
            <w:pPr>
              <w:spacing w:after="0"/>
              <w:rPr>
                <w:sz w:val="13"/>
                <w:szCs w:val="13"/>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Neo Panamax Container Vessel</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9,288</w:t>
            </w:r>
          </w:p>
        </w:tc>
        <w:tc>
          <w:tcPr>
            <w:tcW w:w="140" w:type="dxa"/>
            <w:vAlign w:val="bottom"/>
          </w:tcPr>
          <w:p>
            <w:pPr>
              <w:spacing w:after="0"/>
              <w:rPr>
                <w:sz w:val="13"/>
                <w:szCs w:val="13"/>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January 31, 2024</w:t>
            </w:r>
          </w:p>
        </w:tc>
        <w:tc>
          <w:tcPr>
            <w:tcW w:w="140" w:type="dxa"/>
            <w:vAlign w:val="bottom"/>
          </w:tcPr>
          <w:p>
            <w:pPr>
              <w:spacing w:after="0"/>
              <w:rPr>
                <w:sz w:val="13"/>
                <w:szCs w:val="13"/>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March 8, 2024</w:t>
            </w:r>
          </w:p>
        </w:tc>
      </w:tr>
      <w:tr>
        <w:trPr>
          <w:trHeight w:val="160"/>
        </w:trPr>
        <w:tc>
          <w:tcPr>
            <w:tcW w:w="60" w:type="dxa"/>
            <w:vAlign w:val="bottom"/>
            <w:shd w:val="clear" w:color="auto" w:fill="CCEEFF"/>
          </w:tcPr>
          <w:p>
            <w:pPr>
              <w:spacing w:after="0"/>
              <w:rPr>
                <w:sz w:val="13"/>
                <w:szCs w:val="13"/>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M/V Long Beach Express</w:t>
            </w:r>
          </w:p>
        </w:tc>
        <w:tc>
          <w:tcPr>
            <w:tcW w:w="140" w:type="dxa"/>
            <w:vAlign w:val="bottom"/>
            <w:shd w:val="clear" w:color="auto" w:fill="CCEEFF"/>
          </w:tcPr>
          <w:p>
            <w:pPr>
              <w:spacing w:after="0"/>
              <w:rPr>
                <w:sz w:val="13"/>
                <w:szCs w:val="13"/>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Panamax Container Vessel</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5,089</w:t>
            </w:r>
          </w:p>
        </w:tc>
        <w:tc>
          <w:tcPr>
            <w:tcW w:w="14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December 15, 2023</w:t>
            </w:r>
          </w:p>
        </w:tc>
        <w:tc>
          <w:tcPr>
            <w:tcW w:w="140" w:type="dxa"/>
            <w:vAlign w:val="bottom"/>
            <w:shd w:val="clear" w:color="auto" w:fill="CCEEFF"/>
          </w:tcPr>
          <w:p>
            <w:pPr>
              <w:spacing w:after="0"/>
              <w:rPr>
                <w:sz w:val="13"/>
                <w:szCs w:val="13"/>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February 26, 2024</w:t>
            </w:r>
          </w:p>
        </w:tc>
      </w:tr>
      <w:tr>
        <w:trPr>
          <w:trHeight w:val="160"/>
        </w:trPr>
        <w:tc>
          <w:tcPr>
            <w:tcW w:w="60" w:type="dxa"/>
            <w:vAlign w:val="bottom"/>
          </w:tcPr>
          <w:p>
            <w:pPr>
              <w:spacing w:after="0"/>
              <w:rPr>
                <w:sz w:val="13"/>
                <w:szCs w:val="13"/>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M/V Seattle Express</w:t>
            </w:r>
          </w:p>
        </w:tc>
        <w:tc>
          <w:tcPr>
            <w:tcW w:w="140" w:type="dxa"/>
            <w:vAlign w:val="bottom"/>
          </w:tcPr>
          <w:p>
            <w:pPr>
              <w:spacing w:after="0"/>
              <w:rPr>
                <w:sz w:val="13"/>
                <w:szCs w:val="13"/>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Panamax Container Vessel</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5,089</w:t>
            </w:r>
          </w:p>
        </w:tc>
        <w:tc>
          <w:tcPr>
            <w:tcW w:w="140" w:type="dxa"/>
            <w:vAlign w:val="bottom"/>
          </w:tcPr>
          <w:p>
            <w:pPr>
              <w:spacing w:after="0"/>
              <w:rPr>
                <w:sz w:val="13"/>
                <w:szCs w:val="13"/>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February 14, 2024</w:t>
            </w:r>
          </w:p>
        </w:tc>
        <w:tc>
          <w:tcPr>
            <w:tcW w:w="140" w:type="dxa"/>
            <w:vAlign w:val="bottom"/>
          </w:tcPr>
          <w:p>
            <w:pPr>
              <w:spacing w:after="0"/>
              <w:rPr>
                <w:sz w:val="13"/>
                <w:szCs w:val="13"/>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April 26, 2024</w:t>
            </w:r>
          </w:p>
        </w:tc>
      </w:tr>
      <w:tr>
        <w:trPr>
          <w:trHeight w:val="160"/>
        </w:trPr>
        <w:tc>
          <w:tcPr>
            <w:tcW w:w="60" w:type="dxa"/>
            <w:vAlign w:val="bottom"/>
            <w:shd w:val="clear" w:color="auto" w:fill="CCEEFF"/>
          </w:tcPr>
          <w:p>
            <w:pPr>
              <w:spacing w:after="0"/>
              <w:rPr>
                <w:sz w:val="13"/>
                <w:szCs w:val="13"/>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M/V Fos Express</w:t>
            </w:r>
          </w:p>
        </w:tc>
        <w:tc>
          <w:tcPr>
            <w:tcW w:w="140" w:type="dxa"/>
            <w:vAlign w:val="bottom"/>
            <w:shd w:val="clear" w:color="auto" w:fill="CCEEFF"/>
          </w:tcPr>
          <w:p>
            <w:pPr>
              <w:spacing w:after="0"/>
              <w:rPr>
                <w:sz w:val="13"/>
                <w:szCs w:val="13"/>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Panamax Container Vessel</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5,089</w:t>
            </w:r>
          </w:p>
        </w:tc>
        <w:tc>
          <w:tcPr>
            <w:tcW w:w="14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February 14, 2024</w:t>
            </w:r>
          </w:p>
        </w:tc>
        <w:tc>
          <w:tcPr>
            <w:tcW w:w="140" w:type="dxa"/>
            <w:vAlign w:val="bottom"/>
            <w:shd w:val="clear" w:color="auto" w:fill="CCEEFF"/>
          </w:tcPr>
          <w:p>
            <w:pPr>
              <w:spacing w:after="0"/>
              <w:rPr>
                <w:sz w:val="13"/>
                <w:szCs w:val="13"/>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May 3, 2024</w:t>
            </w:r>
          </w:p>
        </w:tc>
      </w:tr>
      <w:tr>
        <w:trPr>
          <w:trHeight w:val="160"/>
        </w:trPr>
        <w:tc>
          <w:tcPr>
            <w:tcW w:w="60" w:type="dxa"/>
            <w:vAlign w:val="bottom"/>
          </w:tcPr>
          <w:p>
            <w:pPr>
              <w:spacing w:after="0"/>
              <w:rPr>
                <w:sz w:val="13"/>
                <w:szCs w:val="13"/>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M/V Athenian</w:t>
            </w:r>
          </w:p>
        </w:tc>
        <w:tc>
          <w:tcPr>
            <w:tcW w:w="140" w:type="dxa"/>
            <w:vAlign w:val="bottom"/>
          </w:tcPr>
          <w:p>
            <w:pPr>
              <w:spacing w:after="0"/>
              <w:rPr>
                <w:sz w:val="13"/>
                <w:szCs w:val="13"/>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Neo Panamax Container Vessel</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9,954</w:t>
            </w:r>
          </w:p>
        </w:tc>
        <w:tc>
          <w:tcPr>
            <w:tcW w:w="140" w:type="dxa"/>
            <w:vAlign w:val="bottom"/>
          </w:tcPr>
          <w:p>
            <w:pPr>
              <w:spacing w:after="0"/>
              <w:rPr>
                <w:sz w:val="13"/>
                <w:szCs w:val="13"/>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March 1, 2024</w:t>
            </w:r>
          </w:p>
        </w:tc>
        <w:tc>
          <w:tcPr>
            <w:tcW w:w="140" w:type="dxa"/>
            <w:vAlign w:val="bottom"/>
          </w:tcPr>
          <w:p>
            <w:pPr>
              <w:spacing w:after="0"/>
              <w:rPr>
                <w:sz w:val="13"/>
                <w:szCs w:val="13"/>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April 22, 2024</w:t>
            </w:r>
          </w:p>
        </w:tc>
      </w:tr>
      <w:tr>
        <w:trPr>
          <w:trHeight w:val="160"/>
        </w:trPr>
        <w:tc>
          <w:tcPr>
            <w:tcW w:w="60" w:type="dxa"/>
            <w:vAlign w:val="bottom"/>
            <w:shd w:val="clear" w:color="auto" w:fill="CCEEFF"/>
          </w:tcPr>
          <w:p>
            <w:pPr>
              <w:spacing w:after="0"/>
              <w:rPr>
                <w:sz w:val="13"/>
                <w:szCs w:val="13"/>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M/V Athos</w:t>
            </w:r>
          </w:p>
        </w:tc>
        <w:tc>
          <w:tcPr>
            <w:tcW w:w="140" w:type="dxa"/>
            <w:vAlign w:val="bottom"/>
            <w:shd w:val="clear" w:color="auto" w:fill="CCEEFF"/>
          </w:tcPr>
          <w:p>
            <w:pPr>
              <w:spacing w:after="0"/>
              <w:rPr>
                <w:sz w:val="13"/>
                <w:szCs w:val="13"/>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Neo Panamax Container Vessel</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9,954</w:t>
            </w:r>
          </w:p>
        </w:tc>
        <w:tc>
          <w:tcPr>
            <w:tcW w:w="14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March 1, 2024</w:t>
            </w:r>
          </w:p>
        </w:tc>
        <w:tc>
          <w:tcPr>
            <w:tcW w:w="140" w:type="dxa"/>
            <w:vAlign w:val="bottom"/>
            <w:shd w:val="clear" w:color="auto" w:fill="CCEEFF"/>
          </w:tcPr>
          <w:p>
            <w:pPr>
              <w:spacing w:after="0"/>
              <w:rPr>
                <w:sz w:val="13"/>
                <w:szCs w:val="13"/>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April 22, 2024</w:t>
            </w:r>
          </w:p>
        </w:tc>
      </w:tr>
      <w:tr>
        <w:trPr>
          <w:trHeight w:val="160"/>
        </w:trPr>
        <w:tc>
          <w:tcPr>
            <w:tcW w:w="60" w:type="dxa"/>
            <w:vAlign w:val="bottom"/>
          </w:tcPr>
          <w:p>
            <w:pPr>
              <w:spacing w:after="0"/>
              <w:rPr>
                <w:sz w:val="13"/>
                <w:szCs w:val="13"/>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M/V Aristomenis</w:t>
            </w:r>
          </w:p>
        </w:tc>
        <w:tc>
          <w:tcPr>
            <w:tcW w:w="140" w:type="dxa"/>
            <w:vAlign w:val="bottom"/>
          </w:tcPr>
          <w:p>
            <w:pPr>
              <w:spacing w:after="0"/>
              <w:rPr>
                <w:sz w:val="13"/>
                <w:szCs w:val="13"/>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Neo Panamax Container Vessel</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9,954</w:t>
            </w:r>
          </w:p>
        </w:tc>
        <w:tc>
          <w:tcPr>
            <w:tcW w:w="140" w:type="dxa"/>
            <w:vAlign w:val="bottom"/>
          </w:tcPr>
          <w:p>
            <w:pPr>
              <w:spacing w:after="0"/>
              <w:rPr>
                <w:sz w:val="13"/>
                <w:szCs w:val="13"/>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March 1, 2024</w:t>
            </w:r>
          </w:p>
        </w:tc>
        <w:tc>
          <w:tcPr>
            <w:tcW w:w="140" w:type="dxa"/>
            <w:vAlign w:val="bottom"/>
          </w:tcPr>
          <w:p>
            <w:pPr>
              <w:spacing w:after="0"/>
              <w:rPr>
                <w:sz w:val="13"/>
                <w:szCs w:val="13"/>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May 3, 2024</w:t>
            </w:r>
          </w:p>
        </w:tc>
      </w:tr>
      <w:tr>
        <w:trPr>
          <w:trHeight w:val="160"/>
        </w:trPr>
        <w:tc>
          <w:tcPr>
            <w:tcW w:w="60" w:type="dxa"/>
            <w:vAlign w:val="bottom"/>
            <w:shd w:val="clear" w:color="auto" w:fill="CCEEFF"/>
          </w:tcPr>
          <w:p>
            <w:pPr>
              <w:spacing w:after="0"/>
              <w:rPr>
                <w:sz w:val="13"/>
                <w:szCs w:val="13"/>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M/V Hyundai Premium</w:t>
            </w:r>
          </w:p>
        </w:tc>
        <w:tc>
          <w:tcPr>
            <w:tcW w:w="140" w:type="dxa"/>
            <w:vAlign w:val="bottom"/>
            <w:shd w:val="clear" w:color="auto" w:fill="CCEEFF"/>
          </w:tcPr>
          <w:p>
            <w:pPr>
              <w:spacing w:after="0"/>
              <w:rPr>
                <w:sz w:val="13"/>
                <w:szCs w:val="13"/>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Neo Panamax Container Vessel</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5,023</w:t>
            </w:r>
          </w:p>
        </w:tc>
        <w:tc>
          <w:tcPr>
            <w:tcW w:w="14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September 12, 2024</w:t>
            </w:r>
          </w:p>
        </w:tc>
        <w:tc>
          <w:tcPr>
            <w:tcW w:w="140" w:type="dxa"/>
            <w:vAlign w:val="bottom"/>
            <w:shd w:val="clear" w:color="auto" w:fill="CCEEFF"/>
          </w:tcPr>
          <w:p>
            <w:pPr>
              <w:spacing w:after="0"/>
              <w:rPr>
                <w:sz w:val="13"/>
                <w:szCs w:val="13"/>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November 22, 2024</w:t>
            </w:r>
          </w:p>
        </w:tc>
      </w:tr>
      <w:tr>
        <w:trPr>
          <w:trHeight w:val="160"/>
        </w:trPr>
        <w:tc>
          <w:tcPr>
            <w:tcW w:w="60" w:type="dxa"/>
            <w:vAlign w:val="bottom"/>
          </w:tcPr>
          <w:p>
            <w:pPr>
              <w:spacing w:after="0"/>
              <w:rPr>
                <w:sz w:val="13"/>
                <w:szCs w:val="13"/>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M/V Hyundai Paramount</w:t>
            </w:r>
          </w:p>
        </w:tc>
        <w:tc>
          <w:tcPr>
            <w:tcW w:w="140" w:type="dxa"/>
            <w:vAlign w:val="bottom"/>
          </w:tcPr>
          <w:p>
            <w:pPr>
              <w:spacing w:after="0"/>
              <w:rPr>
                <w:sz w:val="13"/>
                <w:szCs w:val="13"/>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Neo Panamax Container Vessel</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5,023</w:t>
            </w:r>
          </w:p>
        </w:tc>
        <w:tc>
          <w:tcPr>
            <w:tcW w:w="140" w:type="dxa"/>
            <w:vAlign w:val="bottom"/>
          </w:tcPr>
          <w:p>
            <w:pPr>
              <w:spacing w:after="0"/>
              <w:rPr>
                <w:sz w:val="13"/>
                <w:szCs w:val="13"/>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September 12, 2024</w:t>
            </w:r>
          </w:p>
        </w:tc>
        <w:tc>
          <w:tcPr>
            <w:tcW w:w="140" w:type="dxa"/>
            <w:vAlign w:val="bottom"/>
          </w:tcPr>
          <w:p>
            <w:pPr>
              <w:spacing w:after="0"/>
              <w:rPr>
                <w:sz w:val="13"/>
                <w:szCs w:val="13"/>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December 20, 2024</w:t>
            </w:r>
          </w:p>
        </w:tc>
      </w:tr>
      <w:tr>
        <w:trPr>
          <w:trHeight w:val="160"/>
        </w:trPr>
        <w:tc>
          <w:tcPr>
            <w:tcW w:w="60" w:type="dxa"/>
            <w:vAlign w:val="bottom"/>
            <w:shd w:val="clear" w:color="auto" w:fill="CCEEFF"/>
          </w:tcPr>
          <w:p>
            <w:pPr>
              <w:spacing w:after="0"/>
              <w:rPr>
                <w:sz w:val="13"/>
                <w:szCs w:val="13"/>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M/V Hyundai Prestige</w:t>
            </w:r>
          </w:p>
        </w:tc>
        <w:tc>
          <w:tcPr>
            <w:tcW w:w="140" w:type="dxa"/>
            <w:vAlign w:val="bottom"/>
            <w:shd w:val="clear" w:color="auto" w:fill="CCEEFF"/>
          </w:tcPr>
          <w:p>
            <w:pPr>
              <w:spacing w:after="0"/>
              <w:rPr>
                <w:sz w:val="13"/>
                <w:szCs w:val="13"/>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Neo Panamax Container Vessel</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5,023</w:t>
            </w:r>
          </w:p>
        </w:tc>
        <w:tc>
          <w:tcPr>
            <w:tcW w:w="14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September 12, 2024</w:t>
            </w:r>
          </w:p>
        </w:tc>
        <w:tc>
          <w:tcPr>
            <w:tcW w:w="140" w:type="dxa"/>
            <w:vAlign w:val="bottom"/>
            <w:shd w:val="clear" w:color="auto" w:fill="CCEEFF"/>
          </w:tcPr>
          <w:p>
            <w:pPr>
              <w:spacing w:after="0"/>
              <w:rPr>
                <w:sz w:val="13"/>
                <w:szCs w:val="13"/>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December 5, 2024</w:t>
            </w:r>
          </w:p>
        </w:tc>
      </w:tr>
      <w:tr>
        <w:trPr>
          <w:trHeight w:val="160"/>
        </w:trPr>
        <w:tc>
          <w:tcPr>
            <w:tcW w:w="60" w:type="dxa"/>
            <w:vAlign w:val="bottom"/>
          </w:tcPr>
          <w:p>
            <w:pPr>
              <w:spacing w:after="0"/>
              <w:rPr>
                <w:sz w:val="13"/>
                <w:szCs w:val="13"/>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M/V Hyundai Privilege</w:t>
            </w:r>
          </w:p>
        </w:tc>
        <w:tc>
          <w:tcPr>
            <w:tcW w:w="140" w:type="dxa"/>
            <w:vAlign w:val="bottom"/>
          </w:tcPr>
          <w:p>
            <w:pPr>
              <w:spacing w:after="0"/>
              <w:rPr>
                <w:sz w:val="13"/>
                <w:szCs w:val="13"/>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Neo Panamax Container Vessel</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5,023</w:t>
            </w:r>
          </w:p>
        </w:tc>
        <w:tc>
          <w:tcPr>
            <w:tcW w:w="140" w:type="dxa"/>
            <w:vAlign w:val="bottom"/>
          </w:tcPr>
          <w:p>
            <w:pPr>
              <w:spacing w:after="0"/>
              <w:rPr>
                <w:sz w:val="13"/>
                <w:szCs w:val="13"/>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September 12, 2024</w:t>
            </w:r>
          </w:p>
        </w:tc>
        <w:tc>
          <w:tcPr>
            <w:tcW w:w="140" w:type="dxa"/>
            <w:vAlign w:val="bottom"/>
          </w:tcPr>
          <w:p>
            <w:pPr>
              <w:spacing w:after="0"/>
              <w:rPr>
                <w:sz w:val="13"/>
                <w:szCs w:val="13"/>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January 10, 2025</w:t>
            </w:r>
          </w:p>
        </w:tc>
      </w:tr>
      <w:tr>
        <w:trPr>
          <w:trHeight w:val="160"/>
        </w:trPr>
        <w:tc>
          <w:tcPr>
            <w:tcW w:w="60" w:type="dxa"/>
            <w:vAlign w:val="bottom"/>
            <w:shd w:val="clear" w:color="auto" w:fill="CCEEFF"/>
          </w:tcPr>
          <w:p>
            <w:pPr>
              <w:spacing w:after="0"/>
              <w:rPr>
                <w:sz w:val="13"/>
                <w:szCs w:val="13"/>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M/V Hyundai Platinum</w:t>
            </w:r>
          </w:p>
        </w:tc>
        <w:tc>
          <w:tcPr>
            <w:tcW w:w="140" w:type="dxa"/>
            <w:vAlign w:val="bottom"/>
            <w:shd w:val="clear" w:color="auto" w:fill="CCEEFF"/>
          </w:tcPr>
          <w:p>
            <w:pPr>
              <w:spacing w:after="0"/>
              <w:rPr>
                <w:sz w:val="13"/>
                <w:szCs w:val="13"/>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Neo Panamax Container Vessel</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5,023</w:t>
            </w:r>
          </w:p>
        </w:tc>
        <w:tc>
          <w:tcPr>
            <w:tcW w:w="14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September 12, 2024</w:t>
            </w:r>
          </w:p>
        </w:tc>
        <w:tc>
          <w:tcPr>
            <w:tcW w:w="140" w:type="dxa"/>
            <w:vAlign w:val="bottom"/>
            <w:shd w:val="clear" w:color="auto" w:fill="CCEEFF"/>
          </w:tcPr>
          <w:p>
            <w:pPr>
              <w:spacing w:after="0"/>
              <w:rPr>
                <w:sz w:val="13"/>
                <w:szCs w:val="13"/>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March 10, 2025</w:t>
            </w:r>
          </w:p>
        </w:tc>
      </w:tr>
      <w:tr>
        <w:trPr>
          <w:trHeight w:val="160"/>
        </w:trPr>
        <w:tc>
          <w:tcPr>
            <w:tcW w:w="60" w:type="dxa"/>
            <w:vAlign w:val="bottom"/>
          </w:tcPr>
          <w:p>
            <w:pPr>
              <w:spacing w:after="0"/>
              <w:rPr>
                <w:sz w:val="13"/>
                <w:szCs w:val="13"/>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M/V Manzanillo Express</w:t>
            </w:r>
          </w:p>
        </w:tc>
        <w:tc>
          <w:tcPr>
            <w:tcW w:w="140" w:type="dxa"/>
            <w:vAlign w:val="bottom"/>
          </w:tcPr>
          <w:p>
            <w:pPr>
              <w:spacing w:after="0"/>
              <w:rPr>
                <w:sz w:val="13"/>
                <w:szCs w:val="13"/>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Neo Panamax Container Vessel</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13,312</w:t>
            </w:r>
          </w:p>
        </w:tc>
        <w:tc>
          <w:tcPr>
            <w:tcW w:w="140" w:type="dxa"/>
            <w:vAlign w:val="bottom"/>
          </w:tcPr>
          <w:p>
            <w:pPr>
              <w:spacing w:after="0"/>
              <w:rPr>
                <w:sz w:val="13"/>
                <w:szCs w:val="13"/>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August 7, 2025</w:t>
            </w:r>
          </w:p>
        </w:tc>
        <w:tc>
          <w:tcPr>
            <w:tcW w:w="140" w:type="dxa"/>
            <w:vAlign w:val="bottom"/>
          </w:tcPr>
          <w:p>
            <w:pPr>
              <w:spacing w:after="0"/>
              <w:rPr>
                <w:sz w:val="13"/>
                <w:szCs w:val="13"/>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October 6, 2025</w:t>
            </w:r>
          </w:p>
        </w:tc>
      </w:tr>
      <w:tr>
        <w:trPr>
          <w:trHeight w:val="160"/>
        </w:trPr>
        <w:tc>
          <w:tcPr>
            <w:tcW w:w="60" w:type="dxa"/>
            <w:vAlign w:val="bottom"/>
            <w:shd w:val="clear" w:color="auto" w:fill="CCEEFF"/>
          </w:tcPr>
          <w:p>
            <w:pPr>
              <w:spacing w:after="0"/>
              <w:rPr>
                <w:sz w:val="13"/>
                <w:szCs w:val="13"/>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M/V Buenaventura Express</w:t>
            </w:r>
          </w:p>
        </w:tc>
        <w:tc>
          <w:tcPr>
            <w:tcW w:w="140" w:type="dxa"/>
            <w:vAlign w:val="bottom"/>
            <w:shd w:val="clear" w:color="auto" w:fill="CCEEFF"/>
          </w:tcPr>
          <w:p>
            <w:pPr>
              <w:spacing w:after="0"/>
              <w:rPr>
                <w:sz w:val="13"/>
                <w:szCs w:val="13"/>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Neo Panamax Container Vessel</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13,696</w:t>
            </w:r>
          </w:p>
        </w:tc>
        <w:tc>
          <w:tcPr>
            <w:tcW w:w="14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October 29, 2025</w:t>
            </w:r>
          </w:p>
        </w:tc>
        <w:tc>
          <w:tcPr>
            <w:tcW w:w="140" w:type="dxa"/>
            <w:vAlign w:val="bottom"/>
            <w:shd w:val="clear" w:color="auto" w:fill="CCEEFF"/>
          </w:tcPr>
          <w:p>
            <w:pPr>
              <w:spacing w:after="0"/>
              <w:rPr>
                <w:sz w:val="13"/>
                <w:szCs w:val="13"/>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January 19, 2026</w:t>
            </w:r>
          </w:p>
        </w:tc>
      </w:tr>
    </w:tbl>
    <w:p>
      <w:pPr>
        <w:spacing w:after="0" w:line="307"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We determined that the assets and liabilities, results of operations and cash flows of these 14 legacy container vessels met the criteria to be reported in discontinued operations. As a result, in this Annual Report and the accompanying Financial Statements, these 14 legacy container vessels are reported as discontinued operations for all periods presented. See Note 3 (Discontinued Operations) to our Financial Statements included herein. The one legacy container vessel that remains in our on-the-water fleet, the M/V Itajai Express, continues to be reported in our continuing operations.</w:t>
      </w:r>
    </w:p>
    <w:p>
      <w:pPr>
        <w:spacing w:after="0" w:line="127" w:lineRule="exact"/>
        <w:rPr>
          <w:sz w:val="20"/>
          <w:szCs w:val="20"/>
          <w:color w:val="auto"/>
        </w:rPr>
      </w:pPr>
    </w:p>
    <w:p>
      <w:pPr>
        <w:jc w:val="both"/>
        <w:ind w:left="5640"/>
        <w:spacing w:after="0"/>
        <w:tabs>
          <w:tab w:leader="none" w:pos="10320" w:val="left"/>
        </w:tabs>
        <w:rPr>
          <w:sz w:val="20"/>
          <w:szCs w:val="20"/>
          <w:color w:val="auto"/>
        </w:rPr>
      </w:pPr>
      <w:r>
        <w:rPr>
          <w:rFonts w:ascii="Times New Roman" w:cs="Times New Roman" w:eastAsia="Times New Roman" w:hAnsi="Times New Roman"/>
          <w:sz w:val="13"/>
          <w:szCs w:val="13"/>
          <w:color w:val="auto"/>
        </w:rPr>
        <w:t>5</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3"/>
          <w:szCs w:val="13"/>
          <w:b w:val="1"/>
          <w:bCs w:val="1"/>
          <w:color w:val="auto"/>
        </w:rPr>
        <w:t>FORWARD LOOKING STATEMENTS</w:t>
      </w:r>
    </w:p>
    <w:p>
      <w:pPr>
        <w:spacing w:after="0" w:line="17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Our disclosure and analysis in this Annual Report concerning our business, operations, cash flows, and financial position, including, among other things, the likelihood of our success in developing and expanding our business, include “forward-looking statements” within the meaning of the safe harbor provisions of the U.S. Private Securities Litigation Reform Act of 1995. Such statements include, in particular, statements about our plans, strategies, business prospects, changes and trends in our business, financial condition and the markets in which we operate, and involve risks and uncertainties. In some cases, you can identify forward-looking statements by the use of words such as “may,” “might,” “could,” “should,” “would,” “expect,” “plan,” “anticipate,” “likely,” “intend,” “forecast,” “believe,” “estimate,” “project,” “predict,” “propose,” “potential,” “continue,” “seek” or the negative of these terms or other comparable terminology. Although these statements are based upon assumptions we believe to be reasonable based upon available information, including projections of revenues, operating margins, earnings, cash flows, working capital and capital expenditures, they are subject to risks and uncertainties that are described more fully in this Annual Report in “Item 3. Key Information—D. Risk Factors” below. These forward-looking statements represent our estimates and assumptions only as of the date of this Annual Report and are not intended to give any assurance as to future results. As a result, you are cautioned not to rely on any forward-looking statements. Forward-looking statements appear in a number of places in this Annual Report and include statements with respect to, among other things:</w:t>
      </w:r>
    </w:p>
    <w:p>
      <w:pPr>
        <w:spacing w:after="0" w:line="134" w:lineRule="exact"/>
        <w:rPr>
          <w:sz w:val="20"/>
          <w:szCs w:val="20"/>
          <w:color w:val="auto"/>
        </w:rPr>
      </w:pPr>
    </w:p>
    <w:p>
      <w:pPr>
        <w:ind w:left="960" w:hanging="481"/>
        <w:spacing w:after="0"/>
        <w:tabs>
          <w:tab w:leader="none" w:pos="960" w:val="left"/>
        </w:tabs>
        <w:numPr>
          <w:ilvl w:val="0"/>
          <w:numId w:val="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expectations regarding our ability to pay dividends to our shareholders;</w:t>
      </w:r>
    </w:p>
    <w:p>
      <w:pPr>
        <w:spacing w:after="0" w:line="169" w:lineRule="exact"/>
        <w:rPr>
          <w:rFonts w:ascii="Arial" w:cs="Arial" w:eastAsia="Arial" w:hAnsi="Arial"/>
          <w:sz w:val="13"/>
          <w:szCs w:val="13"/>
          <w:b w:val="1"/>
          <w:bCs w:val="1"/>
          <w:color w:val="auto"/>
        </w:rPr>
      </w:pPr>
    </w:p>
    <w:p>
      <w:pPr>
        <w:ind w:left="960" w:hanging="481"/>
        <w:spacing w:after="0" w:line="292" w:lineRule="auto"/>
        <w:tabs>
          <w:tab w:leader="none" w:pos="960" w:val="left"/>
        </w:tabs>
        <w:numPr>
          <w:ilvl w:val="0"/>
          <w:numId w:val="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expectations regarding global economic outlook and growth including as a result of the armed conflict in the Middle East and in Ukraine, as well as protectionist trade measures, including the tariffs imposed by the U.S. and retaliatory tariffs from other countries;</w:t>
      </w:r>
    </w:p>
    <w:p>
      <w:pPr>
        <w:spacing w:after="0" w:line="114" w:lineRule="exact"/>
        <w:rPr>
          <w:rFonts w:ascii="Arial" w:cs="Arial" w:eastAsia="Arial" w:hAnsi="Arial"/>
          <w:sz w:val="13"/>
          <w:szCs w:val="13"/>
          <w:b w:val="1"/>
          <w:bCs w:val="1"/>
          <w:color w:val="auto"/>
        </w:rPr>
      </w:pPr>
    </w:p>
    <w:p>
      <w:pPr>
        <w:ind w:left="960" w:hanging="481"/>
        <w:spacing w:after="0" w:line="265" w:lineRule="auto"/>
        <w:tabs>
          <w:tab w:leader="none" w:pos="960" w:val="left"/>
        </w:tabs>
        <w:numPr>
          <w:ilvl w:val="0"/>
          <w:numId w:val="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expectations regarding shipping conditions and fundamentals, including the balance of supply and demand, as well as trends and conditions in the newbuild markets and scrapping of older vessels;</w:t>
      </w:r>
    </w:p>
    <w:p>
      <w:pPr>
        <w:spacing w:after="0" w:line="313" w:lineRule="exact"/>
        <w:rPr>
          <w:rFonts w:ascii="Arial" w:cs="Arial" w:eastAsia="Arial" w:hAnsi="Arial"/>
          <w:sz w:val="13"/>
          <w:szCs w:val="13"/>
          <w:b w:val="1"/>
          <w:bCs w:val="1"/>
          <w:color w:val="auto"/>
        </w:rPr>
      </w:pPr>
    </w:p>
    <w:p>
      <w:pPr>
        <w:ind w:left="960" w:hanging="481"/>
        <w:spacing w:after="0" w:line="292" w:lineRule="auto"/>
        <w:tabs>
          <w:tab w:leader="none" w:pos="960" w:val="left"/>
        </w:tabs>
        <w:numPr>
          <w:ilvl w:val="0"/>
          <w:numId w:val="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our current and future business and growth strategies and other plans and objectives for future operations, future acquisitions and deliveries of vessels from Capital Maritime or third parties, and the expected benefits from our Under Construction Fleet;</w:t>
      </w:r>
    </w:p>
    <w:p>
      <w:pPr>
        <w:spacing w:after="0" w:line="114" w:lineRule="exact"/>
        <w:rPr>
          <w:rFonts w:ascii="Arial" w:cs="Arial" w:eastAsia="Arial" w:hAnsi="Arial"/>
          <w:sz w:val="13"/>
          <w:szCs w:val="13"/>
          <w:b w:val="1"/>
          <w:bCs w:val="1"/>
          <w:color w:val="auto"/>
        </w:rPr>
      </w:pPr>
    </w:p>
    <w:p>
      <w:pPr>
        <w:ind w:left="960" w:hanging="481"/>
        <w:spacing w:after="0" w:line="292" w:lineRule="auto"/>
        <w:tabs>
          <w:tab w:leader="none" w:pos="960" w:val="left"/>
        </w:tabs>
        <w:numPr>
          <w:ilvl w:val="0"/>
          <w:numId w:val="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expectations regarding our shift in strategic focus towards the transportation of various forms of gas to industrial customers, including our intention to dispose of our container vessels and abstain from acquiring additional container vessels;</w:t>
      </w:r>
    </w:p>
    <w:p>
      <w:pPr>
        <w:spacing w:after="0" w:line="114" w:lineRule="exact"/>
        <w:rPr>
          <w:rFonts w:ascii="Arial" w:cs="Arial" w:eastAsia="Arial" w:hAnsi="Arial"/>
          <w:sz w:val="13"/>
          <w:szCs w:val="13"/>
          <w:b w:val="1"/>
          <w:bCs w:val="1"/>
          <w:color w:val="auto"/>
        </w:rPr>
      </w:pPr>
    </w:p>
    <w:p>
      <w:pPr>
        <w:ind w:left="960" w:hanging="481"/>
        <w:spacing w:after="0"/>
        <w:tabs>
          <w:tab w:leader="none" w:pos="960" w:val="left"/>
        </w:tabs>
        <w:numPr>
          <w:ilvl w:val="0"/>
          <w:numId w:val="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expectations regarding the effects of the Conversion;</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our continued ability to enter into medium- or long-term, fixed-rate time or bareboat charters with our charterers and to re-charter our vessels at attractive rates as their existing charters expire;</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relationships and reputations of our Managers in the shipping industry;</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financial condition, viability and sustainability of our charterers, including their ability to meet their obligations under the terms of our charter agreements;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our ability to maximize the use of our vessels;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our ability to access debt, credit and equity markets;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our ability to service, refinance or repay our financing under our financing arrangements and settle our hedging arrangements;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planned capital expenditures and availability of capital resources to fund capital expenditures;</w:t>
      </w:r>
    </w:p>
    <w:p>
      <w:pPr>
        <w:spacing w:after="0" w:line="169" w:lineRule="exact"/>
        <w:rPr>
          <w:sz w:val="20"/>
          <w:szCs w:val="20"/>
          <w:color w:val="auto"/>
        </w:rPr>
      </w:pPr>
    </w:p>
    <w:p>
      <w:pPr>
        <w:jc w:val="both"/>
        <w:ind w:left="5640"/>
        <w:spacing w:after="0"/>
        <w:tabs>
          <w:tab w:leader="none" w:pos="10320" w:val="left"/>
        </w:tabs>
        <w:rPr>
          <w:sz w:val="20"/>
          <w:szCs w:val="20"/>
          <w:color w:val="auto"/>
        </w:rPr>
      </w:pPr>
      <w:r>
        <w:rPr>
          <w:rFonts w:ascii="Times New Roman" w:cs="Times New Roman" w:eastAsia="Times New Roman" w:hAnsi="Times New Roman"/>
          <w:sz w:val="13"/>
          <w:szCs w:val="13"/>
          <w:color w:val="auto"/>
        </w:rPr>
        <w:t>6</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4" w:right="319" w:bottom="1440" w:gutter="0" w:footer="0" w:header="0"/>
        </w:sectPr>
      </w:pPr>
    </w:p>
    <w:bookmarkStart w:id="7" w:name="page8"/>
    <w:bookmarkEnd w:id="7"/>
    <w:p>
      <w:pPr>
        <w:ind w:left="960" w:hanging="481"/>
        <w:spacing w:after="0"/>
        <w:tabs>
          <w:tab w:leader="none" w:pos="960" w:val="left"/>
        </w:tabs>
        <w:numPr>
          <w:ilvl w:val="0"/>
          <w:numId w:val="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expected lifespan and condition of our vessels;</w:t>
      </w:r>
    </w:p>
    <w:p>
      <w:pPr>
        <w:spacing w:after="0" w:line="169" w:lineRule="exact"/>
        <w:rPr>
          <w:rFonts w:ascii="Arial" w:cs="Arial" w:eastAsia="Arial" w:hAnsi="Arial"/>
          <w:sz w:val="13"/>
          <w:szCs w:val="13"/>
          <w:b w:val="1"/>
          <w:bCs w:val="1"/>
          <w:color w:val="auto"/>
        </w:rPr>
      </w:pPr>
    </w:p>
    <w:p>
      <w:pPr>
        <w:jc w:val="both"/>
        <w:ind w:left="960" w:hanging="481"/>
        <w:spacing w:after="0" w:line="274" w:lineRule="auto"/>
        <w:tabs>
          <w:tab w:leader="none" w:pos="960" w:val="left"/>
        </w:tabs>
        <w:numPr>
          <w:ilvl w:val="0"/>
          <w:numId w:val="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changes to the regulatory requirements applicable to the shipping industry, including, without limitation, stricter requirements adopted by international organizations such as the International Maritime Organization (“IMO”) and by the European Union (“EU”), or by individual countries or charterers and actions taken by regulatory authorities overseeing such areas as safety and environmental compliance;</w:t>
      </w:r>
    </w:p>
    <w:p>
      <w:pPr>
        <w:spacing w:after="0" w:line="126" w:lineRule="exact"/>
        <w:rPr>
          <w:rFonts w:ascii="Arial" w:cs="Arial" w:eastAsia="Arial" w:hAnsi="Arial"/>
          <w:sz w:val="13"/>
          <w:szCs w:val="13"/>
          <w:b w:val="1"/>
          <w:bCs w:val="1"/>
          <w:color w:val="auto"/>
        </w:rPr>
      </w:pPr>
    </w:p>
    <w:p>
      <w:pPr>
        <w:ind w:left="960" w:hanging="481"/>
        <w:spacing w:after="0"/>
        <w:tabs>
          <w:tab w:leader="none" w:pos="960" w:val="left"/>
        </w:tabs>
        <w:numPr>
          <w:ilvl w:val="0"/>
          <w:numId w:val="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our ability to successfully operate exhaust gas cleaning systems (“scrubbers”) or other newly installed equipment and novel technologies on certain or all of our vessels;</w:t>
      </w:r>
    </w:p>
    <w:p>
      <w:pPr>
        <w:spacing w:after="0" w:line="169" w:lineRule="exact"/>
        <w:rPr>
          <w:rFonts w:ascii="Arial" w:cs="Arial" w:eastAsia="Arial" w:hAnsi="Arial"/>
          <w:sz w:val="13"/>
          <w:szCs w:val="13"/>
          <w:b w:val="1"/>
          <w:bCs w:val="1"/>
          <w:color w:val="auto"/>
        </w:rPr>
      </w:pPr>
    </w:p>
    <w:p>
      <w:pPr>
        <w:ind w:left="960" w:hanging="481"/>
        <w:spacing w:after="0" w:line="292" w:lineRule="auto"/>
        <w:tabs>
          <w:tab w:leader="none" w:pos="960" w:val="left"/>
        </w:tabs>
        <w:numPr>
          <w:ilvl w:val="0"/>
          <w:numId w:val="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expected cost of, and our ability to comply with, governmental regulations and maritime self-regulatory organization standards, including new environmental regulations and standards, as well as standard regulations imposed by our charterers applicable to our business;</w:t>
      </w:r>
    </w:p>
    <w:p>
      <w:pPr>
        <w:spacing w:after="0" w:line="114" w:lineRule="exact"/>
        <w:rPr>
          <w:rFonts w:ascii="Arial" w:cs="Arial" w:eastAsia="Arial" w:hAnsi="Arial"/>
          <w:sz w:val="13"/>
          <w:szCs w:val="13"/>
          <w:b w:val="1"/>
          <w:bCs w:val="1"/>
          <w:color w:val="auto"/>
        </w:rPr>
      </w:pPr>
    </w:p>
    <w:p>
      <w:pPr>
        <w:ind w:left="960" w:hanging="481"/>
        <w:spacing w:after="0" w:line="292" w:lineRule="auto"/>
        <w:tabs>
          <w:tab w:leader="none" w:pos="960" w:val="left"/>
        </w:tabs>
        <w:numPr>
          <w:ilvl w:val="0"/>
          <w:numId w:val="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impact of heightened regulations and the actions of regulators and other government authorities, including anti-corruption laws and regulations, as well as sanctions and other governmental actions;</w:t>
      </w:r>
    </w:p>
    <w:p>
      <w:pPr>
        <w:spacing w:after="0" w:line="114" w:lineRule="exact"/>
        <w:rPr>
          <w:rFonts w:ascii="Arial" w:cs="Arial" w:eastAsia="Arial" w:hAnsi="Arial"/>
          <w:sz w:val="13"/>
          <w:szCs w:val="13"/>
          <w:b w:val="1"/>
          <w:bCs w:val="1"/>
          <w:color w:val="auto"/>
        </w:rPr>
      </w:pPr>
    </w:p>
    <w:p>
      <w:pPr>
        <w:jc w:val="both"/>
        <w:ind w:left="960" w:hanging="481"/>
        <w:spacing w:after="0" w:line="274" w:lineRule="auto"/>
        <w:tabs>
          <w:tab w:leader="none" w:pos="960" w:val="left"/>
        </w:tabs>
        <w:numPr>
          <w:ilvl w:val="0"/>
          <w:numId w:val="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impact of new restrictions on trade, including the imposition of significant new tariffs by the United States on its trading partners and the imposition of significant retaliatory tariffs by China and the EU on the United States, and potential further protectionist measures and/or further retaliatory actions by others, including the imposition of tariffs or penalties on vessels calling in key export or import ports such as the United States, EU and/or China;</w:t>
      </w:r>
    </w:p>
    <w:p>
      <w:pPr>
        <w:spacing w:after="0" w:line="126" w:lineRule="exact"/>
        <w:rPr>
          <w:rFonts w:ascii="Arial" w:cs="Arial" w:eastAsia="Arial" w:hAnsi="Arial"/>
          <w:sz w:val="13"/>
          <w:szCs w:val="13"/>
          <w:b w:val="1"/>
          <w:bCs w:val="1"/>
          <w:color w:val="auto"/>
        </w:rPr>
      </w:pPr>
    </w:p>
    <w:p>
      <w:pPr>
        <w:ind w:left="960" w:hanging="481"/>
        <w:spacing w:after="0"/>
        <w:tabs>
          <w:tab w:leader="none" w:pos="960" w:val="left"/>
        </w:tabs>
        <w:numPr>
          <w:ilvl w:val="0"/>
          <w:numId w:val="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our anticipated general and administrative expenses;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adequacy of our insurance arrangements and our ability to obtain insurance and required certifications;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anticipated taxation of the Company and dividends to our shareholders;</w:t>
      </w:r>
    </w:p>
    <w:p>
      <w:pPr>
        <w:spacing w:after="0" w:line="169" w:lineRule="exact"/>
        <w:rPr>
          <w:rFonts w:ascii="Arial" w:cs="Arial" w:eastAsia="Arial" w:hAnsi="Arial"/>
          <w:sz w:val="13"/>
          <w:szCs w:val="13"/>
          <w:b w:val="1"/>
          <w:bCs w:val="1"/>
          <w:color w:val="auto"/>
        </w:rPr>
      </w:pPr>
    </w:p>
    <w:p>
      <w:pPr>
        <w:ind w:left="960" w:hanging="481"/>
        <w:spacing w:after="0" w:line="292" w:lineRule="auto"/>
        <w:tabs>
          <w:tab w:leader="none" w:pos="960" w:val="left"/>
        </w:tabs>
        <w:numPr>
          <w:ilvl w:val="0"/>
          <w:numId w:val="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ability of CGP LLC to retain its officers and employees who provide services to the Company pursuant to the Executive Services Agreement and the ability of our Managers to retain key employees;</w:t>
      </w:r>
    </w:p>
    <w:p>
      <w:pPr>
        <w:spacing w:after="0" w:line="114" w:lineRule="exact"/>
        <w:rPr>
          <w:rFonts w:ascii="Arial" w:cs="Arial" w:eastAsia="Arial" w:hAnsi="Arial"/>
          <w:sz w:val="13"/>
          <w:szCs w:val="13"/>
          <w:b w:val="1"/>
          <w:bCs w:val="1"/>
          <w:color w:val="auto"/>
        </w:rPr>
      </w:pPr>
    </w:p>
    <w:p>
      <w:pPr>
        <w:ind w:left="960" w:hanging="481"/>
        <w:spacing w:after="0"/>
        <w:tabs>
          <w:tab w:leader="none" w:pos="960" w:val="left"/>
        </w:tabs>
        <w:numPr>
          <w:ilvl w:val="0"/>
          <w:numId w:val="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anticipated funds for liquidity needs and the sufficiency of cash flows; and</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ability of our counterparties to perform under our shipbuilding contracts.</w:t>
      </w:r>
    </w:p>
    <w:p>
      <w:pPr>
        <w:spacing w:after="0" w:line="169"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The preceding list is not intended to be an exhaustive list of all our forward-looking statements. These and other forward-looking statements are made based upon management’s current plans, expectations, estimates, assumptions and beliefs concerning future events impacting us and, therefore, involve a number of risks and uncertainties, including those risks discussed in “Item 3. Key Information—D. Risk Factors” below, which are beyond our control, could cause actual results to be materially different from those contained in any forward-looking statement. We caution that forward-looking statements are not guarantees and that actual results could differ materially from those expressed or implied in the forward-looking statements.</w:t>
      </w:r>
    </w:p>
    <w:p>
      <w:pPr>
        <w:spacing w:after="0" w:line="131"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Unless required by law, we expressly disclaim any obligation to update any forward-looking statement or statements to reflect events or circumstances after the date on which such statement is made or to reflect the occurrence of unanticipated events.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 You should carefully review and consider the various disclosures included in this Annual Report that attempt to advise interested parties of the risks and factors that may affect our business, prospects and results of operations.</w:t>
      </w:r>
    </w:p>
    <w:p>
      <w:pPr>
        <w:spacing w:after="0" w:line="131" w:lineRule="exact"/>
        <w:rPr>
          <w:sz w:val="20"/>
          <w:szCs w:val="20"/>
          <w:color w:val="auto"/>
        </w:rPr>
      </w:pPr>
    </w:p>
    <w:p>
      <w:pPr>
        <w:jc w:val="both"/>
        <w:ind w:left="5640"/>
        <w:spacing w:after="0"/>
        <w:tabs>
          <w:tab w:leader="none" w:pos="10320" w:val="left"/>
        </w:tabs>
        <w:rPr>
          <w:sz w:val="20"/>
          <w:szCs w:val="20"/>
          <w:color w:val="auto"/>
        </w:rPr>
      </w:pPr>
      <w:r>
        <w:rPr>
          <w:rFonts w:ascii="Times New Roman" w:cs="Times New Roman" w:eastAsia="Times New Roman" w:hAnsi="Times New Roman"/>
          <w:sz w:val="13"/>
          <w:szCs w:val="13"/>
          <w:color w:val="auto"/>
        </w:rPr>
        <w:t>7</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46"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3"/>
          <w:szCs w:val="13"/>
          <w:b w:val="1"/>
          <w:bCs w:val="1"/>
          <w:color w:val="auto"/>
        </w:rPr>
        <w:t>PART I.</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 Identity of Directors, Senior Management and Advisors.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2. Offer Statistics and Expected Timetable.</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3. Key Information.</w:t>
      </w:r>
    </w:p>
    <w:p>
      <w:pPr>
        <w:spacing w:after="0" w:line="170" w:lineRule="exact"/>
        <w:rPr>
          <w:sz w:val="20"/>
          <w:szCs w:val="20"/>
          <w:color w:val="auto"/>
        </w:rPr>
      </w:pPr>
    </w:p>
    <w:p>
      <w:pPr>
        <w:ind w:left="480" w:hanging="480"/>
        <w:spacing w:after="0"/>
        <w:tabs>
          <w:tab w:leader="none" w:pos="480" w:val="left"/>
        </w:tabs>
        <w:numPr>
          <w:ilvl w:val="0"/>
          <w:numId w:val="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[Reserved.]</w:t>
      </w:r>
    </w:p>
    <w:p>
      <w:pPr>
        <w:spacing w:after="0" w:line="169" w:lineRule="exact"/>
        <w:rPr>
          <w:rFonts w:ascii="Times New Roman" w:cs="Times New Roman" w:eastAsia="Times New Roman" w:hAnsi="Times New Roman"/>
          <w:sz w:val="13"/>
          <w:szCs w:val="13"/>
          <w:b w:val="1"/>
          <w:bCs w:val="1"/>
          <w:color w:val="auto"/>
        </w:rPr>
      </w:pPr>
    </w:p>
    <w:p>
      <w:pPr>
        <w:ind w:left="480" w:right="8940" w:hanging="480"/>
        <w:spacing w:after="0" w:line="512" w:lineRule="auto"/>
        <w:tabs>
          <w:tab w:leader="none" w:pos="480" w:val="left"/>
        </w:tabs>
        <w:numPr>
          <w:ilvl w:val="0"/>
          <w:numId w:val="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Capitalization and Indebtedness. </w:t>
      </w:r>
      <w:r>
        <w:rPr>
          <w:rFonts w:ascii="Times New Roman" w:cs="Times New Roman" w:eastAsia="Times New Roman" w:hAnsi="Times New Roman"/>
          <w:sz w:val="13"/>
          <w:szCs w:val="13"/>
          <w:color w:val="auto"/>
        </w:rPr>
        <w:t>Not applicable.</w:t>
      </w:r>
    </w:p>
    <w:p>
      <w:pPr>
        <w:ind w:left="480" w:right="8380" w:hanging="480"/>
        <w:spacing w:after="0" w:line="512" w:lineRule="auto"/>
        <w:tabs>
          <w:tab w:leader="none" w:pos="480" w:val="left"/>
        </w:tabs>
        <w:numPr>
          <w:ilvl w:val="0"/>
          <w:numId w:val="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Reasons for the Offer and Use of Proceeds. </w:t>
      </w:r>
      <w:r>
        <w:rPr>
          <w:rFonts w:ascii="Times New Roman" w:cs="Times New Roman" w:eastAsia="Times New Roman" w:hAnsi="Times New Roman"/>
          <w:sz w:val="13"/>
          <w:szCs w:val="13"/>
          <w:color w:val="auto"/>
        </w:rPr>
        <w:t>Not applicable.</w:t>
      </w:r>
    </w:p>
    <w:p>
      <w:pPr>
        <w:ind w:left="480" w:hanging="480"/>
        <w:spacing w:after="0"/>
        <w:tabs>
          <w:tab w:leader="none" w:pos="480" w:val="left"/>
        </w:tabs>
        <w:numPr>
          <w:ilvl w:val="0"/>
          <w:numId w:val="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Risk Factors</w:t>
      </w:r>
    </w:p>
    <w:p>
      <w:pPr>
        <w:spacing w:after="0" w:line="169" w:lineRule="exact"/>
        <w:rPr>
          <w:rFonts w:ascii="Times New Roman" w:cs="Times New Roman" w:eastAsia="Times New Roman" w:hAnsi="Times New Roman"/>
          <w:sz w:val="13"/>
          <w:szCs w:val="13"/>
          <w:b w:val="1"/>
          <w:bCs w:val="1"/>
          <w:color w:val="auto"/>
        </w:rPr>
      </w:pPr>
    </w:p>
    <w:p>
      <w:pPr>
        <w:ind w:left="48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i w:val="1"/>
          <w:iCs w:val="1"/>
          <w:color w:val="auto"/>
        </w:rPr>
        <w:t>An investment in our securities involves a high degree of risk.</w:t>
      </w:r>
    </w:p>
    <w:p>
      <w:pPr>
        <w:spacing w:after="0" w:line="170" w:lineRule="exact"/>
        <w:rPr>
          <w:sz w:val="20"/>
          <w:szCs w:val="20"/>
          <w:color w:val="auto"/>
        </w:rPr>
      </w:pPr>
    </w:p>
    <w:p>
      <w:pPr>
        <w:jc w:val="both"/>
        <w:ind w:firstLine="479"/>
        <w:spacing w:after="0" w:line="200" w:lineRule="auto"/>
        <w:rPr>
          <w:sz w:val="20"/>
          <w:szCs w:val="20"/>
          <w:color w:val="auto"/>
        </w:rPr>
      </w:pPr>
      <w:r>
        <w:rPr>
          <w:rFonts w:ascii="Times New Roman" w:cs="Times New Roman" w:eastAsia="Times New Roman" w:hAnsi="Times New Roman"/>
          <w:sz w:val="13"/>
          <w:szCs w:val="13"/>
          <w:i w:val="1"/>
          <w:iCs w:val="1"/>
          <w:color w:val="auto"/>
        </w:rPr>
        <w:t>Some of the risks described below relate to the industries and the countries in which we operate as of the date of this Annual Report. Please read “Item 4. Information on the Company” for information on the current scope of our operations. We currently own 12 latest generation LNG/C vessels, one LCO</w:t>
      </w:r>
      <w:r>
        <w:rPr>
          <w:rFonts w:ascii="Times New Roman" w:cs="Times New Roman" w:eastAsia="Times New Roman" w:hAnsi="Times New Roman"/>
          <w:sz w:val="22"/>
          <w:szCs w:val="22"/>
          <w:i w:val="1"/>
          <w:iCs w:val="1"/>
          <w:color w:val="auto"/>
          <w:vertAlign w:val="subscript"/>
        </w:rPr>
        <w:t>2</w:t>
      </w:r>
      <w:r>
        <w:rPr>
          <w:rFonts w:ascii="Times New Roman" w:cs="Times New Roman" w:eastAsia="Times New Roman" w:hAnsi="Times New Roman"/>
          <w:sz w:val="13"/>
          <w:szCs w:val="13"/>
          <w:i w:val="1"/>
          <w:iCs w:val="1"/>
          <w:color w:val="auto"/>
        </w:rPr>
        <w:t xml:space="preserve"> – HMG/C vessel and one legacy Neo-Panamax container carrier vessel. In addition, our Under Construction Fleet includes nine additional latest generation LNG/C vessels, six dual-fuel MG/C vessels and three LCO</w:t>
      </w:r>
      <w:r>
        <w:rPr>
          <w:rFonts w:ascii="Times New Roman" w:cs="Times New Roman" w:eastAsia="Times New Roman" w:hAnsi="Times New Roman"/>
          <w:sz w:val="22"/>
          <w:szCs w:val="22"/>
          <w:i w:val="1"/>
          <w:iCs w:val="1"/>
          <w:color w:val="auto"/>
          <w:vertAlign w:val="subscript"/>
        </w:rPr>
        <w:t>2</w:t>
      </w:r>
      <w:r>
        <w:rPr>
          <w:rFonts w:ascii="Times New Roman" w:cs="Times New Roman" w:eastAsia="Times New Roman" w:hAnsi="Times New Roman"/>
          <w:sz w:val="13"/>
          <w:szCs w:val="13"/>
          <w:i w:val="1"/>
          <w:iCs w:val="1"/>
          <w:color w:val="auto"/>
        </w:rPr>
        <w:t xml:space="preserve"> – HMG/C vessels, to be delivered between the second quarter of 2026 and the first quarter of 2029. We may in the future enter into additional markets. If that happens, we will be exposed to additional risks.</w:t>
      </w:r>
    </w:p>
    <w:p>
      <w:pPr>
        <w:spacing w:after="0" w:line="148" w:lineRule="exact"/>
        <w:rPr>
          <w:sz w:val="20"/>
          <w:szCs w:val="20"/>
          <w:color w:val="auto"/>
        </w:rPr>
      </w:pPr>
    </w:p>
    <w:p>
      <w:pPr>
        <w:jc w:val="both"/>
        <w:ind w:firstLine="479"/>
        <w:spacing w:after="0" w:line="296" w:lineRule="auto"/>
        <w:rPr>
          <w:sz w:val="20"/>
          <w:szCs w:val="20"/>
          <w:color w:val="auto"/>
        </w:rPr>
      </w:pPr>
      <w:r>
        <w:rPr>
          <w:rFonts w:ascii="Times New Roman" w:cs="Times New Roman" w:eastAsia="Times New Roman" w:hAnsi="Times New Roman"/>
          <w:sz w:val="13"/>
          <w:szCs w:val="13"/>
          <w:i w:val="1"/>
          <w:iCs w:val="1"/>
          <w:color w:val="auto"/>
        </w:rPr>
        <w:t>If any of the following risks actually occurs, our business, financial condition, operating results and cash flow could be materially adversely affected. If that happens, we might not be able to pay dividends on our common shares, the trading price of our common shares could decline and you could lose all or part of your investment.</w:t>
      </w:r>
    </w:p>
    <w:p>
      <w:pPr>
        <w:spacing w:after="0" w:line="110" w:lineRule="exact"/>
        <w:rPr>
          <w:sz w:val="20"/>
          <w:szCs w:val="20"/>
          <w:color w:val="auto"/>
        </w:rPr>
      </w:pPr>
    </w:p>
    <w:p>
      <w:pPr>
        <w:jc w:val="both"/>
        <w:ind w:firstLine="479"/>
        <w:spacing w:after="0" w:line="296" w:lineRule="auto"/>
        <w:rPr>
          <w:sz w:val="20"/>
          <w:szCs w:val="20"/>
          <w:color w:val="auto"/>
        </w:rPr>
      </w:pPr>
      <w:r>
        <w:rPr>
          <w:rFonts w:ascii="Times New Roman" w:cs="Times New Roman" w:eastAsia="Times New Roman" w:hAnsi="Times New Roman"/>
          <w:sz w:val="13"/>
          <w:szCs w:val="13"/>
          <w:i w:val="1"/>
          <w:iCs w:val="1"/>
          <w:color w:val="auto"/>
        </w:rPr>
        <w:t>The risks described below include forward-looking statements and our actual results may differ substantially from those discussed in such forward-looking statements. For more information, please read “Forward Looking Statements” above.</w:t>
      </w:r>
    </w:p>
    <w:p>
      <w:pPr>
        <w:spacing w:after="0" w:line="112" w:lineRule="exact"/>
        <w:rPr>
          <w:sz w:val="20"/>
          <w:szCs w:val="20"/>
          <w:color w:val="auto"/>
        </w:rPr>
      </w:pPr>
    </w:p>
    <w:p>
      <w:pPr>
        <w:jc w:val="both"/>
        <w:ind w:left="5640"/>
        <w:spacing w:after="0"/>
        <w:tabs>
          <w:tab w:leader="none" w:pos="10320" w:val="left"/>
        </w:tabs>
        <w:rPr>
          <w:sz w:val="20"/>
          <w:szCs w:val="20"/>
          <w:color w:val="auto"/>
        </w:rPr>
      </w:pPr>
      <w:r>
        <w:rPr>
          <w:rFonts w:ascii="Times New Roman" w:cs="Times New Roman" w:eastAsia="Times New Roman" w:hAnsi="Times New Roman"/>
          <w:sz w:val="13"/>
          <w:szCs w:val="13"/>
          <w:color w:val="auto"/>
        </w:rPr>
        <w:t>8</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9" w:name="page10"/>
    <w:bookmarkEnd w:id="9"/>
    <w:p>
      <w:pPr>
        <w:ind w:left="4201"/>
        <w:spacing w:after="0"/>
        <w:rPr>
          <w:sz w:val="20"/>
          <w:szCs w:val="20"/>
          <w:color w:val="auto"/>
        </w:rPr>
      </w:pPr>
      <w:r>
        <w:rPr>
          <w:rFonts w:ascii="Times New Roman" w:cs="Times New Roman" w:eastAsia="Times New Roman" w:hAnsi="Times New Roman"/>
          <w:sz w:val="13"/>
          <w:szCs w:val="13"/>
          <w:b w:val="1"/>
          <w:bCs w:val="1"/>
          <w:color w:val="auto"/>
        </w:rPr>
        <w:t>SUMMARY OF RISK FACTORS</w:t>
      </w:r>
    </w:p>
    <w:p>
      <w:pPr>
        <w:spacing w:after="0" w:line="17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The following is a summary of some of the principal risks we face. The list below is not exhaustive, and you should read this “Risk factors” section in full.</w:t>
      </w:r>
    </w:p>
    <w:p>
      <w:pPr>
        <w:spacing w:after="0" w:line="170" w:lineRule="exact"/>
        <w:rPr>
          <w:sz w:val="20"/>
          <w:szCs w:val="20"/>
          <w:color w:val="auto"/>
        </w:rPr>
      </w:pPr>
    </w:p>
    <w:p>
      <w:pPr>
        <w:ind w:left="481" w:hanging="481"/>
        <w:spacing w:after="0"/>
        <w:tabs>
          <w:tab w:leader="none" w:pos="481" w:val="left"/>
        </w:tabs>
        <w:numPr>
          <w:ilvl w:val="0"/>
          <w:numId w:val="1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ocean-going LNG, LPG and container shipping industries are cyclical and volatile;</w:t>
      </w:r>
    </w:p>
    <w:p>
      <w:pPr>
        <w:spacing w:after="0" w:line="72" w:lineRule="exact"/>
        <w:rPr>
          <w:rFonts w:ascii="Arial" w:cs="Arial" w:eastAsia="Arial" w:hAnsi="Arial"/>
          <w:sz w:val="13"/>
          <w:szCs w:val="13"/>
          <w:b w:val="1"/>
          <w:bCs w:val="1"/>
          <w:color w:val="auto"/>
        </w:rPr>
      </w:pPr>
    </w:p>
    <w:p>
      <w:pPr>
        <w:ind w:left="481" w:hanging="481"/>
        <w:spacing w:after="0" w:line="298" w:lineRule="auto"/>
        <w:tabs>
          <w:tab w:leader="none" w:pos="481" w:val="left"/>
        </w:tabs>
        <w:numPr>
          <w:ilvl w:val="0"/>
          <w:numId w:val="1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wider energy transition gas market, such as the carriage of low carbon ammonia and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continues to develop and shipping demand, charter hire rates and profitability for this market are uncertain;</w:t>
      </w:r>
    </w:p>
    <w:p>
      <w:pPr>
        <w:spacing w:after="0" w:line="85" w:lineRule="exact"/>
        <w:rPr>
          <w:rFonts w:ascii="Arial" w:cs="Arial" w:eastAsia="Arial" w:hAnsi="Arial"/>
          <w:sz w:val="13"/>
          <w:szCs w:val="13"/>
          <w:b w:val="1"/>
          <w:bCs w:val="1"/>
          <w:color w:val="auto"/>
        </w:rPr>
      </w:pPr>
    </w:p>
    <w:p>
      <w:pPr>
        <w:ind w:left="481" w:hanging="481"/>
        <w:spacing w:after="0"/>
        <w:tabs>
          <w:tab w:leader="none" w:pos="481" w:val="left"/>
        </w:tabs>
        <w:numPr>
          <w:ilvl w:val="0"/>
          <w:numId w:val="1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An oversupply of LNG/C, LPG carrier or containership capacity may depress current charter rates and adversely affect our ability to charter our vessels at profitable rates or at all;</w:t>
      </w:r>
    </w:p>
    <w:p>
      <w:pPr>
        <w:spacing w:after="0" w:line="169" w:lineRule="exact"/>
        <w:rPr>
          <w:rFonts w:ascii="Arial" w:cs="Arial" w:eastAsia="Arial" w:hAnsi="Arial"/>
          <w:sz w:val="13"/>
          <w:szCs w:val="13"/>
          <w:b w:val="1"/>
          <w:bCs w:val="1"/>
          <w:color w:val="auto"/>
        </w:rPr>
      </w:pPr>
    </w:p>
    <w:p>
      <w:pPr>
        <w:ind w:left="481" w:hanging="481"/>
        <w:spacing w:after="0"/>
        <w:tabs>
          <w:tab w:leader="none" w:pos="481" w:val="left"/>
        </w:tabs>
        <w:numPr>
          <w:ilvl w:val="0"/>
          <w:numId w:val="1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We may not realize the benefits anticipated from our Under Construction Fleet;</w:t>
      </w:r>
    </w:p>
    <w:p>
      <w:pPr>
        <w:spacing w:after="0" w:line="169" w:lineRule="exact"/>
        <w:rPr>
          <w:rFonts w:ascii="Arial" w:cs="Arial" w:eastAsia="Arial" w:hAnsi="Arial"/>
          <w:sz w:val="13"/>
          <w:szCs w:val="13"/>
          <w:b w:val="1"/>
          <w:bCs w:val="1"/>
          <w:color w:val="auto"/>
        </w:rPr>
      </w:pPr>
    </w:p>
    <w:p>
      <w:pPr>
        <w:ind w:left="481" w:hanging="481"/>
        <w:spacing w:after="0" w:line="210" w:lineRule="auto"/>
        <w:tabs>
          <w:tab w:leader="none" w:pos="481" w:val="left"/>
        </w:tabs>
        <w:numPr>
          <w:ilvl w:val="0"/>
          <w:numId w:val="1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We may not realize the benefits anticipated from our change in business focus to concentrate on the LNG/C market, the LPG carriage market and the wider energy transition gas market such as the carriage of low carbon ammonia and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w:t>
      </w:r>
    </w:p>
    <w:p>
      <w:pPr>
        <w:spacing w:after="0" w:line="136" w:lineRule="exact"/>
        <w:rPr>
          <w:rFonts w:ascii="Arial" w:cs="Arial" w:eastAsia="Arial" w:hAnsi="Arial"/>
          <w:sz w:val="13"/>
          <w:szCs w:val="13"/>
          <w:b w:val="1"/>
          <w:bCs w:val="1"/>
          <w:color w:val="auto"/>
        </w:rPr>
      </w:pPr>
    </w:p>
    <w:p>
      <w:pPr>
        <w:ind w:left="481" w:hanging="481"/>
        <w:spacing w:after="0"/>
        <w:tabs>
          <w:tab w:leader="none" w:pos="481" w:val="left"/>
        </w:tabs>
        <w:numPr>
          <w:ilvl w:val="0"/>
          <w:numId w:val="1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Marine transportation is inherently risky, and an incident involving significant loss of, or environmental contamination by, any of our vessels could harm our reputation and business;</w:t>
      </w:r>
    </w:p>
    <w:p>
      <w:pPr>
        <w:spacing w:after="0" w:line="169" w:lineRule="exact"/>
        <w:rPr>
          <w:rFonts w:ascii="Arial" w:cs="Arial" w:eastAsia="Arial" w:hAnsi="Arial"/>
          <w:sz w:val="13"/>
          <w:szCs w:val="13"/>
          <w:b w:val="1"/>
          <w:bCs w:val="1"/>
          <w:color w:val="auto"/>
        </w:rPr>
      </w:pPr>
    </w:p>
    <w:p>
      <w:pPr>
        <w:ind w:left="481" w:hanging="481"/>
        <w:spacing w:after="0"/>
        <w:tabs>
          <w:tab w:leader="none" w:pos="481" w:val="left"/>
        </w:tabs>
        <w:numPr>
          <w:ilvl w:val="0"/>
          <w:numId w:val="1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Political and government instability can affect the industries in which we operate, which may adversely affect our business;</w:t>
      </w:r>
    </w:p>
    <w:p>
      <w:pPr>
        <w:spacing w:after="0" w:line="169" w:lineRule="exact"/>
        <w:rPr>
          <w:rFonts w:ascii="Arial" w:cs="Arial" w:eastAsia="Arial" w:hAnsi="Arial"/>
          <w:sz w:val="13"/>
          <w:szCs w:val="13"/>
          <w:b w:val="1"/>
          <w:bCs w:val="1"/>
          <w:color w:val="auto"/>
        </w:rPr>
      </w:pPr>
    </w:p>
    <w:p>
      <w:pPr>
        <w:ind w:left="481" w:hanging="481"/>
        <w:spacing w:after="0"/>
        <w:tabs>
          <w:tab w:leader="none" w:pos="481" w:val="left"/>
        </w:tabs>
        <w:numPr>
          <w:ilvl w:val="0"/>
          <w:numId w:val="1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We may not be able to grow our business or to effectively manage our growth;</w:t>
      </w:r>
    </w:p>
    <w:p>
      <w:pPr>
        <w:spacing w:after="0" w:line="169" w:lineRule="exact"/>
        <w:rPr>
          <w:rFonts w:ascii="Arial" w:cs="Arial" w:eastAsia="Arial" w:hAnsi="Arial"/>
          <w:sz w:val="13"/>
          <w:szCs w:val="13"/>
          <w:b w:val="1"/>
          <w:bCs w:val="1"/>
          <w:color w:val="auto"/>
        </w:rPr>
      </w:pPr>
    </w:p>
    <w:p>
      <w:pPr>
        <w:ind w:left="481" w:hanging="481"/>
        <w:spacing w:after="0" w:line="292" w:lineRule="auto"/>
        <w:tabs>
          <w:tab w:leader="none" w:pos="481" w:val="left"/>
        </w:tabs>
        <w:numPr>
          <w:ilvl w:val="0"/>
          <w:numId w:val="1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Certain of our vessels may be under time charters at rates that are at a substantial premium to the spot and period markets, and our charterers’ failure to perform under these time charters could result in a significant loss of expected future revenues and cash flows;</w:t>
      </w:r>
    </w:p>
    <w:p>
      <w:pPr>
        <w:spacing w:after="0" w:line="114" w:lineRule="exact"/>
        <w:rPr>
          <w:rFonts w:ascii="Arial" w:cs="Arial" w:eastAsia="Arial" w:hAnsi="Arial"/>
          <w:sz w:val="13"/>
          <w:szCs w:val="13"/>
          <w:b w:val="1"/>
          <w:bCs w:val="1"/>
          <w:color w:val="auto"/>
        </w:rPr>
      </w:pPr>
    </w:p>
    <w:p>
      <w:pPr>
        <w:ind w:left="481" w:hanging="481"/>
        <w:spacing w:after="0" w:line="292" w:lineRule="auto"/>
        <w:tabs>
          <w:tab w:leader="none" w:pos="481" w:val="left"/>
        </w:tabs>
        <w:numPr>
          <w:ilvl w:val="0"/>
          <w:numId w:val="1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We currently derive a significant part of our revenues from a limited number of charterers and the loss of any charterer or charter or vessel could result in a significant loss of revenues and cash flows;</w:t>
      </w:r>
    </w:p>
    <w:p>
      <w:pPr>
        <w:spacing w:after="0" w:line="114" w:lineRule="exact"/>
        <w:rPr>
          <w:rFonts w:ascii="Arial" w:cs="Arial" w:eastAsia="Arial" w:hAnsi="Arial"/>
          <w:sz w:val="13"/>
          <w:szCs w:val="13"/>
          <w:b w:val="1"/>
          <w:bCs w:val="1"/>
          <w:color w:val="auto"/>
        </w:rPr>
      </w:pPr>
    </w:p>
    <w:p>
      <w:pPr>
        <w:ind w:left="481" w:hanging="481"/>
        <w:spacing w:after="0" w:line="292" w:lineRule="auto"/>
        <w:tabs>
          <w:tab w:leader="none" w:pos="481" w:val="left"/>
        </w:tabs>
        <w:numPr>
          <w:ilvl w:val="0"/>
          <w:numId w:val="1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 decrease in the level of export and import of goods or LNG, LPG or ammonia production and exports, as a result of trade protectionism, including threats or imposition of tariffs or other trade barriers, economic sanctions, changes in commodity prices or other factors affecting global markets, could affect demand for shipping;</w:t>
      </w:r>
    </w:p>
    <w:p>
      <w:pPr>
        <w:spacing w:after="0" w:line="114" w:lineRule="exact"/>
        <w:rPr>
          <w:rFonts w:ascii="Arial" w:cs="Arial" w:eastAsia="Arial" w:hAnsi="Arial"/>
          <w:sz w:val="13"/>
          <w:szCs w:val="13"/>
          <w:b w:val="1"/>
          <w:bCs w:val="1"/>
          <w:color w:val="auto"/>
        </w:rPr>
      </w:pPr>
    </w:p>
    <w:p>
      <w:pPr>
        <w:ind w:left="481" w:hanging="481"/>
        <w:spacing w:after="0" w:line="292" w:lineRule="auto"/>
        <w:tabs>
          <w:tab w:leader="none" w:pos="481" w:val="left"/>
        </w:tabs>
        <w:numPr>
          <w:ilvl w:val="0"/>
          <w:numId w:val="1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Vessel values may decrease and over time may fluctuate substantially, which may cause us to recognize losses if we sell our vessels or record impairments and affect our ability to comply with our loan covenants or refinance our debt; and</w:t>
      </w:r>
    </w:p>
    <w:p>
      <w:pPr>
        <w:spacing w:after="0" w:line="114" w:lineRule="exact"/>
        <w:rPr>
          <w:rFonts w:ascii="Arial" w:cs="Arial" w:eastAsia="Arial" w:hAnsi="Arial"/>
          <w:sz w:val="13"/>
          <w:szCs w:val="13"/>
          <w:b w:val="1"/>
          <w:bCs w:val="1"/>
          <w:color w:val="auto"/>
        </w:rPr>
      </w:pPr>
    </w:p>
    <w:p>
      <w:pPr>
        <w:ind w:left="481" w:hanging="481"/>
        <w:spacing w:after="0" w:line="292" w:lineRule="auto"/>
        <w:tabs>
          <w:tab w:leader="none" w:pos="481" w:val="left"/>
        </w:tabs>
        <w:numPr>
          <w:ilvl w:val="0"/>
          <w:numId w:val="1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An increase in interest rates or increased interest rate levels for long periods of time could increase our level of debt and the related interest expense, limit our ability to access debt and equity financing and increase the cost of capital required to acquire additional vessels or to implement our business strategy.</w:t>
      </w:r>
    </w:p>
    <w:p>
      <w:pPr>
        <w:spacing w:after="0" w:line="115" w:lineRule="exact"/>
        <w:rPr>
          <w:sz w:val="20"/>
          <w:szCs w:val="20"/>
          <w:color w:val="auto"/>
        </w:rPr>
      </w:pPr>
    </w:p>
    <w:p>
      <w:pPr>
        <w:jc w:val="both"/>
        <w:ind w:left="5161"/>
        <w:spacing w:after="0"/>
        <w:tabs>
          <w:tab w:leader="none" w:pos="9841" w:val="left"/>
        </w:tabs>
        <w:rPr>
          <w:sz w:val="20"/>
          <w:szCs w:val="20"/>
          <w:color w:val="auto"/>
        </w:rPr>
      </w:pPr>
      <w:r>
        <w:rPr>
          <w:rFonts w:ascii="Times New Roman" w:cs="Times New Roman" w:eastAsia="Times New Roman" w:hAnsi="Times New Roman"/>
          <w:sz w:val="13"/>
          <w:szCs w:val="13"/>
          <w:color w:val="auto"/>
        </w:rPr>
        <w:t>9</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14605</wp:posOffset>
            </wp:positionV>
            <wp:extent cx="716788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0801"/>
          </w:cols>
          <w:pgMar w:left="779" w:top="544"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b w:val="1"/>
          <w:bCs w:val="1"/>
          <w:color w:val="auto"/>
        </w:rPr>
        <w:t>RISKS RELATED TO OUR INDUSTRY</w:t>
      </w:r>
    </w:p>
    <w:p>
      <w:pPr>
        <w:spacing w:after="0" w:line="17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b w:val="1"/>
          <w:bCs w:val="1"/>
          <w:color w:val="auto"/>
        </w:rPr>
        <w:t>We are exposed to various risks in the ocean-going LNG, LPG and container shipping industries, which are cyclical and volatile, and the wider energy transition gas market, which continues to develop.</w:t>
      </w:r>
    </w:p>
    <w:p>
      <w:pPr>
        <w:spacing w:after="0" w:line="218" w:lineRule="exact"/>
        <w:rPr>
          <w:sz w:val="20"/>
          <w:szCs w:val="20"/>
          <w:color w:val="auto"/>
        </w:rPr>
      </w:pPr>
    </w:p>
    <w:p>
      <w:pPr>
        <w:jc w:val="both"/>
        <w:ind w:firstLine="479"/>
        <w:spacing w:after="0" w:line="218" w:lineRule="auto"/>
        <w:rPr>
          <w:sz w:val="20"/>
          <w:szCs w:val="20"/>
          <w:color w:val="auto"/>
        </w:rPr>
      </w:pPr>
      <w:r>
        <w:rPr>
          <w:rFonts w:ascii="Times New Roman" w:cs="Times New Roman" w:eastAsia="Times New Roman" w:hAnsi="Times New Roman"/>
          <w:sz w:val="13"/>
          <w:szCs w:val="13"/>
          <w:color w:val="auto"/>
        </w:rPr>
        <w:t>As of the date of this Annual Report, we own 12 LNG/C vessels, one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 HMG/C vessel and one legacy Neo-Panamax container carrier vessel. In addition, our Under Construction Fleet includes nine additional latest generation LNG/C vessels, six dual-fuel MG/C vessels and three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 HMG/C vessels, to be delivered between the second quarter of 2026 and the first quarter of 2029.</w:t>
      </w:r>
    </w:p>
    <w:p>
      <w:pPr>
        <w:spacing w:after="0" w:line="136"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Currently, the majority of our vessels operate in the LNG shipping industry and our performance and future growth depend on continued demand in this industry. The LNG shipping industry is cyclical with attendant volatility in charter hire rates and profitability. Charter hire rates for LNG/C vessels depend on multiple factors, including changes in the supply and demand for LNG and changes in the supply and demand for LNG shipping capacity. In recent years, the LNG/C charter market recovered after experiencing a prolonged period of historically low rates. However, beginning in 2023 charter rates began to decrease and in 2024 and 2025 charter rates were significantly lower compared to the prior year, due to an oversupplied freight market resulting from the mismatch between increased supply from vessel deliveries and decreased demand from delays in LNG projects. In 2025, charter rates were also negatively impacted by shorter voyage durations freeing up capacity due to strong European demand and weaker Asian demand. The degree of charter hire rate volatility among different types of LNG/C vessels has varied widely. In the past, there have been times when charter and spot market rates for LNG/C vessels declined below the operating costs of vessels.</w:t>
      </w:r>
    </w:p>
    <w:p>
      <w:pPr>
        <w:spacing w:after="0" w:line="39" w:lineRule="exact"/>
        <w:rPr>
          <w:sz w:val="20"/>
          <w:szCs w:val="20"/>
          <w:color w:val="auto"/>
        </w:rPr>
      </w:pPr>
    </w:p>
    <w:p>
      <w:pPr>
        <w:jc w:val="both"/>
        <w:ind w:firstLine="479"/>
        <w:spacing w:after="0" w:line="212" w:lineRule="auto"/>
        <w:rPr>
          <w:sz w:val="20"/>
          <w:szCs w:val="20"/>
          <w:color w:val="auto"/>
        </w:rPr>
      </w:pPr>
      <w:r>
        <w:rPr>
          <w:rFonts w:ascii="Times New Roman" w:cs="Times New Roman" w:eastAsia="Times New Roman" w:hAnsi="Times New Roman"/>
          <w:sz w:val="13"/>
          <w:szCs w:val="13"/>
          <w:color w:val="auto"/>
        </w:rPr>
        <w:t>Upon delivery of the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 HMG/C Active, we have begun to operate in the LPG shipping industry, and in the future we expect to operate in the wider energy transition gas market, such as the carriage of low carbon ammonia and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Accordingly, we are exposed to the various risks in these industries and our exposure will increase as additional vessels that constitute the Gas Fleet are delivered to us. The wider energy transition gas market continues to develop and charter hire rates and profitability for this market are uncertain. In particular, large-scale markets for the carriage of low carbon ammonia and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do not yet exist. Our performance and future growth depend on successful development of such markets. Significant investment by governments and industry, including subsidies in certain cases, in addition to regulatory changes, will be required to successfully develop large-scale markets for the carriage of low carbon ammonia and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In addition, attitudes and trends with respect to environmental matters and the energy transition continue to evolve and we cannot forecast when such markets will develop or guarantee that such markets will develop. Prior to the development of large-scale markets for the carriage of low carbon ammonia and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we expect that the Gas Fleet will be utilized for the carriage of LPG and ammonia and, currently, the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 HMG/C Active is employed on a six-month time charter transporting LPG for an energy trading company. The LPG and ammonia shipping markets are cyclical with attendant volatility in profitability, charter rates and vessel values. The degree of charter rate volatility among different types of gas carriers has varied widely. Spot market rates in the LPG and ammonia shipping industry are highly seasonal with rates typically demonstrating strength in the second and third quarters as suppliers build inventory for high consumption during the northern hemisphere winter. However, recent LPG and ammonia shipping market activity has not yielded the expected seasonal results. The time charter and spot market rates for LPG carriers are volatile and have in the past declined below the operating costs of vessels.</w:t>
      </w:r>
    </w:p>
    <w:p>
      <w:pPr>
        <w:spacing w:after="0" w:line="153"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10</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11" w:name="page12"/>
    <w:bookmarkEnd w:id="11"/>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For so long as we continue to own the M/V Itajai Express, we will be exposed to risks in the ocean-going container shipping industry and our ability to successfully divest our last legacy container carrier vessel will depend on continued demand in this industry. The ocean-going container shipping industry is both cyclical and volatile in terms of charter rates and profitability and demand for our last legacy container vessel depends on a range of factors, including changes in the supply and demand for ship capacity and changes in the supply and demand for shipment of cargoes in containers. Charter rates for container vessels declined through 2023, amid demand headwinds, increased supply of vessels, easing in congestion and weaker economic sentiment. During 2024 and 2025, demand in global container trade increased compared to the previous year in terms of TEU/miles. In 2025, container charter rates increased by 11% compared to the previous year.</w:t>
      </w:r>
    </w:p>
    <w:p>
      <w:pPr>
        <w:spacing w:after="0" w:line="133"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The shipping industries in which we operate or expect to operate are affected by macroeconomic and geopolitical factors, including the effects of armed conflicts, terrorist attacks, trade restrictions, tariffs, natural or man-made disasters (including industrial disasters), epidemics or pandemics of disease and climatic or other catastrophicevents. The factors affecting the supply of LNG, LPG, ammonia and products shipped in containers and the demand for our vessels are outside our control and the nature, timing, direction and degree of changes in industry conditions are difficult to predict. Some of the factors that influence demand for our vessels include:</w:t>
      </w:r>
    </w:p>
    <w:p>
      <w:pPr>
        <w:spacing w:after="0" w:line="131" w:lineRule="exact"/>
        <w:rPr>
          <w:sz w:val="20"/>
          <w:szCs w:val="20"/>
          <w:color w:val="auto"/>
        </w:rPr>
      </w:pPr>
    </w:p>
    <w:p>
      <w:pPr>
        <w:ind w:left="960" w:hanging="481"/>
        <w:spacing w:after="0"/>
        <w:tabs>
          <w:tab w:leader="none" w:pos="960" w:val="left"/>
        </w:tabs>
        <w:numPr>
          <w:ilvl w:val="0"/>
          <w:numId w:val="1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price of LNG, which may be affected, among other things, by:</w:t>
      </w:r>
    </w:p>
    <w:p>
      <w:pPr>
        <w:spacing w:after="0" w:line="169" w:lineRule="exact"/>
        <w:rPr>
          <w:rFonts w:ascii="Arial" w:cs="Arial" w:eastAsia="Arial" w:hAnsi="Arial"/>
          <w:sz w:val="13"/>
          <w:szCs w:val="13"/>
          <w:b w:val="1"/>
          <w:bCs w:val="1"/>
          <w:color w:val="auto"/>
        </w:rPr>
      </w:pPr>
    </w:p>
    <w:p>
      <w:pPr>
        <w:ind w:left="1440" w:hanging="482"/>
        <w:spacing w:after="0" w:line="292" w:lineRule="auto"/>
        <w:tabs>
          <w:tab w:leader="none" w:pos="1440" w:val="left"/>
        </w:tabs>
        <w:numPr>
          <w:ilvl w:val="1"/>
          <w:numId w:val="1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prices and availability of crude oil, petroleum products and natural gas, including to the extent that natural gas prices are benchmarked to the price of crude oil, which could negatively affect the economics of potential new LNG production projects;</w:t>
      </w:r>
    </w:p>
    <w:p>
      <w:pPr>
        <w:spacing w:after="0" w:line="114" w:lineRule="exact"/>
        <w:rPr>
          <w:rFonts w:ascii="Arial" w:cs="Arial" w:eastAsia="Arial" w:hAnsi="Arial"/>
          <w:sz w:val="13"/>
          <w:szCs w:val="13"/>
          <w:b w:val="1"/>
          <w:bCs w:val="1"/>
          <w:color w:val="auto"/>
        </w:rPr>
      </w:pPr>
    </w:p>
    <w:p>
      <w:pPr>
        <w:ind w:left="1440" w:hanging="482"/>
        <w:spacing w:after="0" w:line="292" w:lineRule="auto"/>
        <w:tabs>
          <w:tab w:leader="none" w:pos="1510" w:val="left"/>
        </w:tabs>
        <w:numPr>
          <w:ilvl w:val="1"/>
          <w:numId w:val="1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cost of natural gas derived from LNG relative to the cost of natural gas generally and the cost of alternative fuels, including renewables and coal, and the impact of increases in the cost of natural gas derived from LNG on consumption of LNG; and</w:t>
      </w:r>
    </w:p>
    <w:p>
      <w:pPr>
        <w:spacing w:after="0" w:line="114" w:lineRule="exact"/>
        <w:rPr>
          <w:rFonts w:ascii="Arial" w:cs="Arial" w:eastAsia="Arial" w:hAnsi="Arial"/>
          <w:sz w:val="13"/>
          <w:szCs w:val="13"/>
          <w:b w:val="1"/>
          <w:bCs w:val="1"/>
          <w:color w:val="auto"/>
        </w:rPr>
      </w:pPr>
    </w:p>
    <w:p>
      <w:pPr>
        <w:ind w:left="1500" w:hanging="542"/>
        <w:spacing w:after="0"/>
        <w:tabs>
          <w:tab w:leader="none" w:pos="1500" w:val="left"/>
        </w:tabs>
        <w:numPr>
          <w:ilvl w:val="1"/>
          <w:numId w:val="1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impact of any adverse effects on the oil and gas industry relating to climate change, including growing public concern about the environmental impact of climate change;</w:t>
      </w:r>
    </w:p>
    <w:p>
      <w:pPr>
        <w:spacing w:after="0" w:line="348" w:lineRule="exact"/>
        <w:rPr>
          <w:rFonts w:ascii="Arial" w:cs="Arial" w:eastAsia="Arial" w:hAnsi="Arial"/>
          <w:sz w:val="13"/>
          <w:szCs w:val="13"/>
          <w:b w:val="1"/>
          <w:bCs w:val="1"/>
          <w:color w:val="auto"/>
        </w:rPr>
      </w:pPr>
    </w:p>
    <w:p>
      <w:pPr>
        <w:ind w:left="960" w:hanging="481"/>
        <w:spacing w:after="0"/>
        <w:tabs>
          <w:tab w:leader="none" w:pos="960" w:val="left"/>
        </w:tabs>
        <w:numPr>
          <w:ilvl w:val="0"/>
          <w:numId w:val="1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changes in the exploration, development, production, liquefaction or transportation of LNG, including the</w:t>
      </w:r>
    </w:p>
    <w:p>
      <w:pPr>
        <w:spacing w:after="0" w:line="22" w:lineRule="exact"/>
        <w:rPr>
          <w:rFonts w:ascii="Arial" w:cs="Arial" w:eastAsia="Arial" w:hAnsi="Arial"/>
          <w:sz w:val="13"/>
          <w:szCs w:val="13"/>
          <w:b w:val="1"/>
          <w:bCs w:val="1"/>
          <w:color w:val="auto"/>
        </w:rPr>
      </w:pPr>
    </w:p>
    <w:p>
      <w:pPr>
        <w:ind w:left="960"/>
        <w:spacing w:after="0" w:line="272" w:lineRule="auto"/>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availability and allocation of capital by developers to new LNG projects, events that may affect the availability of sufficient financing for LNG projects and the location of regional and global exploration, production and manufacturing facilities;</w:t>
      </w:r>
    </w:p>
    <w:p>
      <w:pPr>
        <w:spacing w:after="0" w:line="127" w:lineRule="exact"/>
        <w:rPr>
          <w:rFonts w:ascii="Arial" w:cs="Arial" w:eastAsia="Arial" w:hAnsi="Arial"/>
          <w:sz w:val="13"/>
          <w:szCs w:val="13"/>
          <w:b w:val="1"/>
          <w:bCs w:val="1"/>
          <w:color w:val="auto"/>
        </w:rPr>
      </w:pPr>
    </w:p>
    <w:p>
      <w:pPr>
        <w:ind w:left="960" w:hanging="481"/>
        <w:spacing w:after="0" w:line="292" w:lineRule="auto"/>
        <w:tabs>
          <w:tab w:leader="none" w:pos="960" w:val="left"/>
        </w:tabs>
        <w:numPr>
          <w:ilvl w:val="0"/>
          <w:numId w:val="1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location of consuming regions for LNG and increases in the production of lower cost domestic natural gas in natural gas consuming markets, which could further depress prices for natural gas in those markets;</w:t>
      </w:r>
    </w:p>
    <w:p>
      <w:pPr>
        <w:spacing w:after="0" w:line="115"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11</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12" w:name="page13"/>
    <w:bookmarkEnd w:id="12"/>
    <w:p>
      <w:pPr>
        <w:ind w:left="481" w:hanging="481"/>
        <w:spacing w:after="0"/>
        <w:tabs>
          <w:tab w:leader="none" w:pos="481" w:val="left"/>
        </w:tabs>
        <w:numPr>
          <w:ilvl w:val="0"/>
          <w:numId w:val="1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factors affecting the supply of, and demand for, LPG and LPG shipping, such as:</w:t>
      </w:r>
    </w:p>
    <w:p>
      <w:pPr>
        <w:spacing w:after="0" w:line="169" w:lineRule="exact"/>
        <w:rPr>
          <w:rFonts w:ascii="Arial" w:cs="Arial" w:eastAsia="Arial" w:hAnsi="Arial"/>
          <w:sz w:val="13"/>
          <w:szCs w:val="13"/>
          <w:b w:val="1"/>
          <w:bCs w:val="1"/>
          <w:color w:val="auto"/>
        </w:rPr>
      </w:pPr>
    </w:p>
    <w:p>
      <w:pPr>
        <w:ind w:left="961" w:hanging="482"/>
        <w:spacing w:after="0"/>
        <w:tabs>
          <w:tab w:leader="none" w:pos="961" w:val="left"/>
        </w:tabs>
        <w:numPr>
          <w:ilvl w:val="1"/>
          <w:numId w:val="1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production levels, prices and worldwide consumption and storage of oil, refined petroleum products and natural gas, including production from United States shale fields; and</w:t>
      </w:r>
    </w:p>
    <w:p>
      <w:pPr>
        <w:spacing w:after="0" w:line="348" w:lineRule="exact"/>
        <w:rPr>
          <w:rFonts w:ascii="Arial" w:cs="Arial" w:eastAsia="Arial" w:hAnsi="Arial"/>
          <w:sz w:val="13"/>
          <w:szCs w:val="13"/>
          <w:b w:val="1"/>
          <w:bCs w:val="1"/>
          <w:color w:val="auto"/>
        </w:rPr>
      </w:pPr>
    </w:p>
    <w:p>
      <w:pPr>
        <w:ind w:left="961" w:hanging="482"/>
        <w:spacing w:after="0"/>
        <w:tabs>
          <w:tab w:leader="none" w:pos="961" w:val="left"/>
        </w:tabs>
        <w:numPr>
          <w:ilvl w:val="1"/>
          <w:numId w:val="1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completion of infrastructure projects to support marine transportation of LPG, including export terminals and pipelines;</w:t>
      </w:r>
    </w:p>
    <w:p>
      <w:pPr>
        <w:spacing w:after="0" w:line="169" w:lineRule="exact"/>
        <w:rPr>
          <w:rFonts w:ascii="Arial" w:cs="Arial" w:eastAsia="Arial" w:hAnsi="Arial"/>
          <w:sz w:val="13"/>
          <w:szCs w:val="13"/>
          <w:b w:val="1"/>
          <w:bCs w:val="1"/>
          <w:color w:val="auto"/>
        </w:rPr>
      </w:pPr>
    </w:p>
    <w:p>
      <w:pPr>
        <w:ind w:left="481" w:hanging="481"/>
        <w:spacing w:after="0" w:line="292" w:lineRule="auto"/>
        <w:tabs>
          <w:tab w:leader="none" w:pos="481" w:val="left"/>
        </w:tabs>
        <w:numPr>
          <w:ilvl w:val="0"/>
          <w:numId w:val="1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factors affecting the supply of, and demand for, ammonia, which is currently primarily produced for use in fertilizers, chemicals, and, increasingly, as a potential clean energy carrier (e.g., for co-firing, hydrogen-carrier and other applications), and ammonia shipping, such as changes in agricultural demand, industrial applications, and energy sector developments;</w:t>
      </w:r>
    </w:p>
    <w:p>
      <w:pPr>
        <w:spacing w:after="0" w:line="114" w:lineRule="exact"/>
        <w:rPr>
          <w:rFonts w:ascii="Arial" w:cs="Arial" w:eastAsia="Arial" w:hAnsi="Arial"/>
          <w:sz w:val="13"/>
          <w:szCs w:val="13"/>
          <w:b w:val="1"/>
          <w:bCs w:val="1"/>
          <w:color w:val="auto"/>
        </w:rPr>
      </w:pPr>
    </w:p>
    <w:p>
      <w:pPr>
        <w:ind w:left="481" w:hanging="481"/>
        <w:spacing w:after="0"/>
        <w:tabs>
          <w:tab w:leader="none" w:pos="481" w:val="left"/>
        </w:tabs>
        <w:numPr>
          <w:ilvl w:val="0"/>
          <w:numId w:val="1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changes in global production of products transported by containerships;</w:t>
      </w:r>
    </w:p>
    <w:p>
      <w:pPr>
        <w:spacing w:after="0" w:line="169" w:lineRule="exact"/>
        <w:rPr>
          <w:rFonts w:ascii="Arial" w:cs="Arial" w:eastAsia="Arial" w:hAnsi="Arial"/>
          <w:sz w:val="13"/>
          <w:szCs w:val="13"/>
          <w:b w:val="1"/>
          <w:bCs w:val="1"/>
          <w:color w:val="auto"/>
        </w:rPr>
      </w:pPr>
    </w:p>
    <w:p>
      <w:pPr>
        <w:ind w:left="481" w:hanging="481"/>
        <w:spacing w:after="0"/>
        <w:tabs>
          <w:tab w:leader="none" w:pos="481" w:val="left"/>
        </w:tabs>
        <w:numPr>
          <w:ilvl w:val="0"/>
          <w:numId w:val="1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level of the current supply of on-the-water LNG/C vessels, LPG carriers and containerships;</w:t>
      </w:r>
    </w:p>
    <w:p>
      <w:pPr>
        <w:spacing w:after="0" w:line="169" w:lineRule="exact"/>
        <w:rPr>
          <w:rFonts w:ascii="Arial" w:cs="Arial" w:eastAsia="Arial" w:hAnsi="Arial"/>
          <w:sz w:val="13"/>
          <w:szCs w:val="13"/>
          <w:b w:val="1"/>
          <w:bCs w:val="1"/>
          <w:color w:val="auto"/>
        </w:rPr>
      </w:pPr>
    </w:p>
    <w:p>
      <w:pPr>
        <w:ind w:left="481" w:hanging="481"/>
        <w:spacing w:after="0"/>
        <w:tabs>
          <w:tab w:leader="none" w:pos="481" w:val="left"/>
        </w:tabs>
        <w:numPr>
          <w:ilvl w:val="0"/>
          <w:numId w:val="1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seaborne and other transportation patterns, including the distances over which LNG, LPG, ammonia and/or containerized goods are transported and changes in such patterns and distances;</w:t>
      </w:r>
    </w:p>
    <w:p>
      <w:pPr>
        <w:spacing w:after="0" w:line="169" w:lineRule="exact"/>
        <w:rPr>
          <w:rFonts w:ascii="Arial" w:cs="Arial" w:eastAsia="Arial" w:hAnsi="Arial"/>
          <w:sz w:val="13"/>
          <w:szCs w:val="13"/>
          <w:b w:val="1"/>
          <w:bCs w:val="1"/>
          <w:color w:val="auto"/>
        </w:rPr>
      </w:pPr>
    </w:p>
    <w:p>
      <w:pPr>
        <w:ind w:left="481" w:hanging="481"/>
        <w:spacing w:after="0"/>
        <w:tabs>
          <w:tab w:leader="none" w:pos="481" w:val="left"/>
        </w:tabs>
        <w:numPr>
          <w:ilvl w:val="0"/>
          <w:numId w:val="1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globalization of production and manufacturing;</w:t>
      </w:r>
    </w:p>
    <w:p>
      <w:pPr>
        <w:spacing w:after="0" w:line="169" w:lineRule="exact"/>
        <w:rPr>
          <w:rFonts w:ascii="Arial" w:cs="Arial" w:eastAsia="Arial" w:hAnsi="Arial"/>
          <w:sz w:val="13"/>
          <w:szCs w:val="13"/>
          <w:b w:val="1"/>
          <w:bCs w:val="1"/>
          <w:color w:val="auto"/>
        </w:rPr>
      </w:pPr>
    </w:p>
    <w:p>
      <w:pPr>
        <w:ind w:left="481" w:hanging="481"/>
        <w:spacing w:after="0" w:line="292" w:lineRule="auto"/>
        <w:tabs>
          <w:tab w:leader="none" w:pos="481" w:val="left"/>
        </w:tabs>
        <w:numPr>
          <w:ilvl w:val="0"/>
          <w:numId w:val="1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developments in international trade, including threats and/or imposition of trade tariffs, export regulations or the imposition of sanctions, which can disrupt established supply chains, impacting transportation demand for LNG, LPG and containerized goods;</w:t>
      </w:r>
    </w:p>
    <w:p>
      <w:pPr>
        <w:spacing w:after="0" w:line="18" w:lineRule="exact"/>
        <w:rPr>
          <w:rFonts w:ascii="Arial" w:cs="Arial" w:eastAsia="Arial" w:hAnsi="Arial"/>
          <w:sz w:val="13"/>
          <w:szCs w:val="13"/>
          <w:b w:val="1"/>
          <w:bCs w:val="1"/>
          <w:color w:val="auto"/>
        </w:rPr>
      </w:pPr>
    </w:p>
    <w:p>
      <w:pPr>
        <w:ind w:left="481" w:hanging="481"/>
        <w:spacing w:after="0"/>
        <w:tabs>
          <w:tab w:leader="none" w:pos="481" w:val="left"/>
        </w:tabs>
        <w:numPr>
          <w:ilvl w:val="0"/>
          <w:numId w:val="1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progress of development of large-scale markets for the carriage of low carbon ammonia and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w:t>
      </w:r>
    </w:p>
    <w:p>
      <w:pPr>
        <w:spacing w:after="0" w:line="172" w:lineRule="exact"/>
        <w:rPr>
          <w:rFonts w:ascii="Arial" w:cs="Arial" w:eastAsia="Arial" w:hAnsi="Arial"/>
          <w:sz w:val="13"/>
          <w:szCs w:val="13"/>
          <w:b w:val="1"/>
          <w:bCs w:val="1"/>
          <w:color w:val="auto"/>
        </w:rPr>
      </w:pPr>
    </w:p>
    <w:p>
      <w:pPr>
        <w:ind w:left="481" w:hanging="481"/>
        <w:spacing w:after="0"/>
        <w:tabs>
          <w:tab w:leader="none" w:pos="481" w:val="left"/>
        </w:tabs>
        <w:numPr>
          <w:ilvl w:val="0"/>
          <w:numId w:val="1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global and regional economic and political conditions, including political and military conflicts;</w:t>
      </w:r>
    </w:p>
    <w:p>
      <w:pPr>
        <w:spacing w:after="0" w:line="179" w:lineRule="exact"/>
        <w:rPr>
          <w:rFonts w:ascii="Arial" w:cs="Arial" w:eastAsia="Arial" w:hAnsi="Arial"/>
          <w:sz w:val="13"/>
          <w:szCs w:val="13"/>
          <w:b w:val="1"/>
          <w:bCs w:val="1"/>
          <w:color w:val="auto"/>
        </w:rPr>
      </w:pPr>
    </w:p>
    <w:p>
      <w:pPr>
        <w:ind w:left="481" w:hanging="481"/>
        <w:spacing w:after="0"/>
        <w:tabs>
          <w:tab w:leader="none" w:pos="481" w:val="left"/>
        </w:tabs>
        <w:numPr>
          <w:ilvl w:val="0"/>
          <w:numId w:val="1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any significant explosion, spill or other incident involving an LNG or LPG facility or carrier;</w:t>
      </w:r>
    </w:p>
    <w:p>
      <w:pPr>
        <w:spacing w:after="0" w:line="169" w:lineRule="exact"/>
        <w:rPr>
          <w:rFonts w:ascii="Arial" w:cs="Arial" w:eastAsia="Arial" w:hAnsi="Arial"/>
          <w:sz w:val="13"/>
          <w:szCs w:val="13"/>
          <w:b w:val="1"/>
          <w:bCs w:val="1"/>
          <w:color w:val="auto"/>
        </w:rPr>
      </w:pPr>
    </w:p>
    <w:p>
      <w:pPr>
        <w:ind w:left="481" w:hanging="481"/>
        <w:spacing w:after="0"/>
        <w:tabs>
          <w:tab w:leader="none" w:pos="481" w:val="left"/>
        </w:tabs>
        <w:numPr>
          <w:ilvl w:val="0"/>
          <w:numId w:val="1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economic growth in China, India and other emerging markets;</w:t>
      </w:r>
    </w:p>
    <w:p>
      <w:pPr>
        <w:spacing w:after="0" w:line="169" w:lineRule="exact"/>
        <w:rPr>
          <w:rFonts w:ascii="Arial" w:cs="Arial" w:eastAsia="Arial" w:hAnsi="Arial"/>
          <w:sz w:val="13"/>
          <w:szCs w:val="13"/>
          <w:b w:val="1"/>
          <w:bCs w:val="1"/>
          <w:color w:val="auto"/>
        </w:rPr>
      </w:pPr>
    </w:p>
    <w:p>
      <w:pPr>
        <w:ind w:left="481" w:hanging="481"/>
        <w:spacing w:after="0" w:line="265" w:lineRule="auto"/>
        <w:tabs>
          <w:tab w:leader="none" w:pos="481" w:val="left"/>
        </w:tabs>
        <w:numPr>
          <w:ilvl w:val="0"/>
          <w:numId w:val="1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laws and regulations, including but not limited to new taxes, environmental protection laws and other regulatory developments such as the EU Emissions Trading Scheme and the FuelEU Maritime;</w:t>
      </w:r>
    </w:p>
    <w:p>
      <w:pPr>
        <w:spacing w:after="0" w:line="313" w:lineRule="exact"/>
        <w:rPr>
          <w:rFonts w:ascii="Arial" w:cs="Arial" w:eastAsia="Arial" w:hAnsi="Arial"/>
          <w:sz w:val="13"/>
          <w:szCs w:val="13"/>
          <w:b w:val="1"/>
          <w:bCs w:val="1"/>
          <w:color w:val="auto"/>
        </w:rPr>
      </w:pPr>
    </w:p>
    <w:p>
      <w:pPr>
        <w:ind w:left="481" w:hanging="481"/>
        <w:spacing w:after="0"/>
        <w:tabs>
          <w:tab w:leader="none" w:pos="481" w:val="left"/>
        </w:tabs>
        <w:numPr>
          <w:ilvl w:val="0"/>
          <w:numId w:val="1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regional, national or international energy policies that constrain the production or consumption of hydrocarbons including natural gas;</w:t>
      </w:r>
    </w:p>
    <w:p>
      <w:pPr>
        <w:spacing w:after="0" w:line="169" w:lineRule="exact"/>
        <w:rPr>
          <w:rFonts w:ascii="Arial" w:cs="Arial" w:eastAsia="Arial" w:hAnsi="Arial"/>
          <w:sz w:val="13"/>
          <w:szCs w:val="13"/>
          <w:b w:val="1"/>
          <w:bCs w:val="1"/>
          <w:color w:val="auto"/>
        </w:rPr>
      </w:pPr>
    </w:p>
    <w:p>
      <w:pPr>
        <w:ind w:left="481" w:hanging="481"/>
        <w:spacing w:after="0"/>
        <w:tabs>
          <w:tab w:leader="none" w:pos="481" w:val="left"/>
        </w:tabs>
        <w:numPr>
          <w:ilvl w:val="0"/>
          <w:numId w:val="1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currency exchange rates;</w:t>
      </w:r>
    </w:p>
    <w:p>
      <w:pPr>
        <w:spacing w:after="0" w:line="169" w:lineRule="exact"/>
        <w:rPr>
          <w:rFonts w:ascii="Arial" w:cs="Arial" w:eastAsia="Arial" w:hAnsi="Arial"/>
          <w:sz w:val="13"/>
          <w:szCs w:val="13"/>
          <w:b w:val="1"/>
          <w:bCs w:val="1"/>
          <w:color w:val="auto"/>
        </w:rPr>
      </w:pPr>
    </w:p>
    <w:p>
      <w:pPr>
        <w:ind w:left="481" w:hanging="481"/>
        <w:spacing w:after="0" w:line="292" w:lineRule="auto"/>
        <w:tabs>
          <w:tab w:leader="none" w:pos="481" w:val="left"/>
        </w:tabs>
        <w:numPr>
          <w:ilvl w:val="0"/>
          <w:numId w:val="1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changes in weather patterns, including warmer winters in the northern hemisphere and lower gas demand in the traditional peak heating season as well as severe weather events resulting from climate change; and</w:t>
      </w:r>
    </w:p>
    <w:p>
      <w:pPr>
        <w:spacing w:after="0" w:line="114" w:lineRule="exact"/>
        <w:rPr>
          <w:rFonts w:ascii="Arial" w:cs="Arial" w:eastAsia="Arial" w:hAnsi="Arial"/>
          <w:sz w:val="13"/>
          <w:szCs w:val="13"/>
          <w:b w:val="1"/>
          <w:bCs w:val="1"/>
          <w:color w:val="auto"/>
        </w:rPr>
      </w:pPr>
    </w:p>
    <w:p>
      <w:pPr>
        <w:ind w:left="481" w:hanging="481"/>
        <w:spacing w:after="0"/>
        <w:tabs>
          <w:tab w:leader="none" w:pos="481" w:val="left"/>
        </w:tabs>
        <w:numPr>
          <w:ilvl w:val="0"/>
          <w:numId w:val="1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cost of bunkers.</w:t>
      </w:r>
    </w:p>
    <w:p>
      <w:pPr>
        <w:spacing w:after="0" w:line="169" w:lineRule="exact"/>
        <w:rPr>
          <w:sz w:val="20"/>
          <w:szCs w:val="20"/>
          <w:color w:val="auto"/>
        </w:rPr>
      </w:pPr>
    </w:p>
    <w:p>
      <w:pPr>
        <w:jc w:val="both"/>
        <w:ind w:left="5141"/>
        <w:spacing w:after="0"/>
        <w:tabs>
          <w:tab w:leader="none" w:pos="9841" w:val="left"/>
        </w:tabs>
        <w:rPr>
          <w:sz w:val="20"/>
          <w:szCs w:val="20"/>
          <w:color w:val="auto"/>
        </w:rPr>
      </w:pPr>
      <w:r>
        <w:rPr>
          <w:rFonts w:ascii="Times New Roman" w:cs="Times New Roman" w:eastAsia="Times New Roman" w:hAnsi="Times New Roman"/>
          <w:sz w:val="13"/>
          <w:szCs w:val="13"/>
          <w:color w:val="auto"/>
        </w:rPr>
        <w:t>12</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14605</wp:posOffset>
            </wp:positionV>
            <wp:extent cx="716788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0801"/>
          </w:cols>
          <w:pgMar w:left="779" w:top="646"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color w:val="auto"/>
        </w:rPr>
        <w:t>Some of the factors that influence the supply of LNG/C vessels, LPG carriers and/or containerships include the following:</w:t>
      </w:r>
    </w:p>
    <w:p>
      <w:pPr>
        <w:spacing w:after="0" w:line="110" w:lineRule="exact"/>
        <w:rPr>
          <w:sz w:val="20"/>
          <w:szCs w:val="20"/>
          <w:color w:val="auto"/>
        </w:rPr>
      </w:pPr>
    </w:p>
    <w:p>
      <w:pPr>
        <w:ind w:left="960" w:hanging="481"/>
        <w:spacing w:after="0" w:line="292" w:lineRule="auto"/>
        <w:tabs>
          <w:tab w:leader="none" w:pos="960" w:val="left"/>
        </w:tabs>
        <w:numPr>
          <w:ilvl w:val="0"/>
          <w:numId w:val="1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number of newbuild orders and deliveries, which among other factors depend upon the ability of shipyards to meet contracted delivery dates and the ability of purchasers to finance such new acquisition;</w:t>
      </w:r>
    </w:p>
    <w:p>
      <w:pPr>
        <w:spacing w:after="0" w:line="114" w:lineRule="exact"/>
        <w:rPr>
          <w:rFonts w:ascii="Arial" w:cs="Arial" w:eastAsia="Arial" w:hAnsi="Arial"/>
          <w:sz w:val="13"/>
          <w:szCs w:val="13"/>
          <w:b w:val="1"/>
          <w:bCs w:val="1"/>
          <w:color w:val="auto"/>
        </w:rPr>
      </w:pPr>
    </w:p>
    <w:p>
      <w:pPr>
        <w:ind w:left="960" w:hanging="481"/>
        <w:spacing w:after="0"/>
        <w:tabs>
          <w:tab w:leader="none" w:pos="960" w:val="left"/>
        </w:tabs>
        <w:numPr>
          <w:ilvl w:val="0"/>
          <w:numId w:val="1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extent of newbuild vessel deferrals;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scrapping rate of LNG/C vessels, LPG carriers and/or containerships;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newbuild prices and LNG/C vessels, LPG carriers and/or containership owner access to capital to finance the construction of newbuilds;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charter rates;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price of steel and other raw materials used in the manufacture of LNG/C vessels, LPG carriers and/or containerships;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changes in environmental and other regulations and standards that may limit the profitability, operations or useful life of LNG/C vessels, LPG carriers and/or containerships;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number of LNG/C vessels, LPG carriers and/or containerships that are slow-steaming or extra slow-steaming to conserve fuel;</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number of LNG/C vessels, LPG carriers and/or containerships that are off-charter and the number of vessels otherwise not in service (for example, as a result of vessel casualties);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port and canal congestion and closures;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demand for fleet renewal;</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technological advancements or changes in vessel design, propulsion, containment systems and vessel size; and</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threats and/or imposition of tariffs imposed on vessels constructed in certain nations, which could affect trade economics and profitability of commodities such as LNG, LPG and ammonia;</w:t>
      </w:r>
    </w:p>
    <w:p>
      <w:pPr>
        <w:spacing w:after="0" w:line="169"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13</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b w:val="1"/>
          <w:bCs w:val="1"/>
          <w:color w:val="auto"/>
        </w:rPr>
        <w:t>An oversupply of vessel capacity may prolong or depress current charter rates and adversely affect our ability to charter our vessels at profitable rates or at all.</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The LNG market has been at times characterized by an oversupply of LNG tonnage, mainly caused by delays in new LNG capacity coming on stream. In addition, newbuild vessel orders increased in 2018 through 2025, driven by the strengthening of charter rates and increasing expectations for long-term LNG supply and demand during that period. As a result, the LNG orderbook as of December 31, 2025, represented approximately 39% of the total on-the-water fleet capacity. A potential overhang of new vessels may cause LNG charter rates to be depressed.</w:t>
      </w:r>
    </w:p>
    <w:p>
      <w:pPr>
        <w:spacing w:after="0" w:line="127"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Historically, the LPG carrier market has been cyclical with attendant volatility in profitability, charter rates and vessel values. The degree of charter rate volatility among different types of gas carriers has varied widely. Because many factors influencing the supply of, and demand for, LPG carrier capacity are unpredictable, the timing, direction and degree of changes in the LPG carriage market are also not predictable. The LPG carrier order book as of December 31, 2025 represented approximately 37% of the total on-the-water fleet capacity.</w:t>
      </w:r>
    </w:p>
    <w:p>
      <w:pPr>
        <w:spacing w:after="0" w:line="127"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In the containership market, the containership order book as of December 31, 2025 represented approximately 34% of the total on-the-water fleet capacity. Deliveries of vessels ordered will increase the size of the on-the-water container fleet over the next two to three years, which might in turn create an overhang of container vessels and cause container charter rates to be depressed. An overhang of container vessels could also negatively affect our ability to successfully divest from our last legacy container vessel.</w:t>
      </w:r>
    </w:p>
    <w:p>
      <w:pPr>
        <w:spacing w:after="0" w:line="127"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An oversupply of newbuild vessels or re-chartered or idle vessel capacity entering the market, combined with any decline in the demand for LNG/C vessels, LPG carriers or containerships, may depress charter rates and may decrease our ability to charter our vessels other than for reduced rates or unprofitable rates or to charter our vessels at all, which may materially and adversely affect our business, financial condition, results of operations, cash flows and ability to pay cash dividends and service or refinance our debt.</w:t>
      </w:r>
    </w:p>
    <w:p>
      <w:pPr>
        <w:spacing w:after="0" w:line="12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3"/>
          <w:szCs w:val="13"/>
          <w:b w:val="1"/>
          <w:bCs w:val="1"/>
          <w:color w:val="auto"/>
        </w:rPr>
        <w:t>A decrease in the level of export and import of goods, in particular from and to Asia, as a result of ongoing geopolitical tensions, trade protectionism, economic sanctions or other factors affecting global markets, including threats or imposition of tariffs or other trade barriers, could affect demand for shipping, resulting in a material adverse impact on our charterers’ business and, in turn, a material adverse impact on our business, financial condition, results of operations, cash flows and ability to pay cash dividends and service or refinance our debt.</w:t>
      </w:r>
    </w:p>
    <w:p>
      <w:pPr>
        <w:spacing w:after="0" w:line="125"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Our operations expose us to the risk that increased trade protectionism, trade embargoes or other economic sanctions or other factors affecting global markets adversely affect our business. Governments may turn to trade barriers to protect or revive their domestic industries in the face of foreign imports, thereby depressing the demand for shipping. Restrictions on imports, including in the form of tariffs, could have a major impact on global trade and demand for shipping.</w:t>
      </w:r>
    </w:p>
    <w:p>
      <w:pPr>
        <w:spacing w:after="0" w:line="127"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Political threats or actions by the U.S. administration, particularly those made by the current U.S. administration, to retaliate against international carbon levies on ships could negatively impact our competitive position. We have significantly invested in latest generation and more fuel-efficient vessels, anticipating favorable regulatory environments such as the European Union Emissions Trading System (“EU ETS”) and “FuelEU” maritime regulations. If these international carbon levies face successful opposition from the U.S. administration or if the EU responds by weakening or eliminating its own regulations due to geopolitical pressure, older and less efficient vessels could remain economically viable competitors to our latest generation and more fuel-efficient vessels, which could diminish the competitive advantage and financial returns anticipated from our investments in more environmentally friendly vessels.</w:t>
      </w:r>
    </w:p>
    <w:p>
      <w:pPr>
        <w:spacing w:after="0" w:line="133"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14</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15" w:name="page16"/>
    <w:bookmarkEnd w:id="15"/>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Our containership is deployed on routes involving containerized trade in and out of emerging markets, and our charterers’ container shipping and business revenue may be derived from the shipment of goods from Asia tovarious overseas export markets, including the United States and Europe. In the United States, there is significant and increasing uncertainty regarding the future relationship between the United States and other exporting countries, including with respect to trade policies, treaties, government regulations and tariffs. Recent actions by the United States have created new restrictions on trade, including the imposition of significant new tariffs on its trading partners, and have increased the likelihood of changes to the United States’ commercial relationships with other exporting countries.</w:t>
      </w:r>
    </w:p>
    <w:p>
      <w:pPr>
        <w:spacing w:after="0" w:line="131" w:lineRule="exact"/>
        <w:rPr>
          <w:sz w:val="20"/>
          <w:szCs w:val="20"/>
          <w:color w:val="auto"/>
        </w:rPr>
      </w:pPr>
    </w:p>
    <w:p>
      <w:pPr>
        <w:jc w:val="both"/>
        <w:ind w:firstLine="479"/>
        <w:spacing w:after="0" w:line="267" w:lineRule="auto"/>
        <w:rPr>
          <w:sz w:val="20"/>
          <w:szCs w:val="20"/>
          <w:color w:val="auto"/>
        </w:rPr>
      </w:pPr>
      <w:r>
        <w:rPr>
          <w:rFonts w:ascii="Times New Roman" w:cs="Times New Roman" w:eastAsia="Times New Roman" w:hAnsi="Times New Roman"/>
          <w:sz w:val="13"/>
          <w:szCs w:val="13"/>
          <w:color w:val="auto"/>
        </w:rPr>
        <w:t>Beginning in February 2025, the U.S. administration announced plans to raise the aggregate tariff rate on imports from China to 125%, with the possibility of further increases as tensions between the two countries escalate. In response, on April 9, 2025, China increased its duties on U.S. goods to 84%, up from 34%. The United States Trade Representative (“USTR”) also adopted a Section 301 action targeting China, imposing charges on Chinese-built vessels and on shipowners and operators linked to China, with such charges scheduled to rise in subsequent years. On October 24, 2025, the USTR commenced a separate Section 301 investigation into China’s performance under the Economic and Trade Agreement Between the Government of the United States of America and the Government of the People’s Republic of China.</w:t>
      </w:r>
    </w:p>
    <w:p>
      <w:pPr>
        <w:spacing w:after="0" w:line="293"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Collectively, these actions have the potential to reduce international trade flows, increase costs for maritime industry participants, and materially adversely affect our business, financial condition and operating results. Although the United States and China agreed to suspend the additional tariffs introduced in April 2025 effective May 14, 2025, there remains a risk that those tariffs could be reinstated or that new tariffs or restrictions could be imposed. Such policies, including, but not limited to, any reciprocal fees or restrictions targeting vessels built in Korea or Japan and/or operators of vessels built in Korea or Japan, including the Company, could materially adversely affect our business, financial condition, results of operations, cash flows and our ability to pay cash dividends and to service or refinance our debt.</w:t>
      </w:r>
    </w:p>
    <w:p>
      <w:pPr>
        <w:spacing w:after="0" w:line="131"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More generally, the recent actions by the United States may trigger significant retaliatory actions by other countries, potentially resulting in a prolonged “trade war” that could negatively impact the LNG and LPG shipping markets and the market for exports of containerized goods. Such actions could lead to reduced international trade volumes, shifts in global trading patterns, and economic uncertainty. Specifically, tariffs and related restrictions could increase costs associated with LNG imports and exports, diminish the competitiveness of LNG relative to alternative energy sources, and potentially dampen global economic growth. A resultant global slowdown or recession could negatively impact energy demand, leading to decreased LNG consumption. This reduced demand may, in turn, adversely affect the volumes of LNG traded internationally, potentially leading to lower utilization rates of LNG/C vessels and exerting downward pressure on charter rates and asset values. Furthermore, such trade uncertainties or economic downturns may delay or disrupt final investment decisions (“FIDs”) for new liquefaction projects, as well as impact the completion and operation of projects that have recently taken FID or are currently under construction. For existing projects, it could lead to customers deciding not to move cargo and result in cargo shut-in. Any delays, cancellations, or reductions in planned liquefaction capacity which could have a material adverse effect on our business, financial condition, results of operations, cash flows and our ability to pay cash dividends and service or refinance our debt.</w:t>
      </w:r>
    </w:p>
    <w:p>
      <w:pPr>
        <w:spacing w:after="0" w:line="137"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15</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16" w:name="page17"/>
    <w:bookmarkEnd w:id="16"/>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Trade protectionism may cause an increase in (i) the cost of goods exported from regions globally, particularly the Asia-Pacific region, (ii) the length of time required to transport goods and (iii) the risks associated with exporting goods. Such increases may reduce the quantity of goods to be shipped, shipping time schedules, voyage costs and other associated costs which may adversely affect the business of our charterers. In addition, the strengthening nearshoring trend, in which companies are reworking global supply chains to expand or relocate facilities closer to end-consumers, could result in decreased demand for ocean-going container vessels. Any reduction in or hindrance to the output of Asia-based exporters could have a material adverse effect on the growth rate of Asia’s exports and on our charterers’ business. Furthermore, the government of China has implemented economic policies aimed at increasing domestic consumption of Chinese-made goods and containing capital outflows. These policies may have the effect of reducing the supply of goods available for exports and the level of international trading and may, in turn, result in a decrease in demand for container shipping.</w:t>
      </w:r>
    </w:p>
    <w:p>
      <w:pPr>
        <w:spacing w:after="0" w:line="135"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Our business could be harmed by trade tariffs, as well as any trade embargoes or other economic sanctions by the United States or other countries against Russia, Iran and other countries in the Middle East, Asia or elsewhere as a result of terrorist attacks, hostilities or diplomatic or political pressures that limit trading activities with thosecountries. In particular, the ongoing conflict between Russia and Ukraine, and attendant sanctions imposed by the United States, the EU and other countries may also adversely impact our business, especially given Russia’s role as a major global exporter of crude oil and natural gas and the imposition of a price cap on Russian-origin oil announced by the U.S., EU and several other countries in December 2022. While reduced flow of Russian natural gas into Europe and the associated trade distortions have increased demand for LNG, the narrowing of the spread between European and Asian LNG prices could potentially continue to adversely affect the demand for LNG shipping and as a consequence could impair our ability to re-charter our LNG/C vessels after the expiration of their current charters. In addition, long term changes in trade patterns of LNG resulting from the conflict between Russia and Ukraine could adversely affect the demand for LNG shipping and impair our ability to re-charter our LNG/C vessels after the expiration of their current charters.</w:t>
      </w:r>
    </w:p>
    <w:p>
      <w:pPr>
        <w:spacing w:after="0" w:line="135"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Any new or increased trade barriers, trade embargoes or restrictions on trade could have an adverse impact on our charterers’ business, operating results and financial condition and could thereby affect their ability to make timely charter hire payments to us and to renew and increase the number of their time charters with us. Such adverse developments could in turn have a material adverse effect on our business, financial condition, results of operations, cash flows and our ability to pay cash dividends and service or refinance our debt.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Worldwide inflationary pressures could negatively impact our results of operations and cash flows.</w:t>
      </w:r>
    </w:p>
    <w:p>
      <w:pPr>
        <w:spacing w:after="0" w:line="172"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Recently, worldwide economies have experienced persistent inflationary pressures, with price increases seen across many sectors globally, although inflationary pressures began to decrease modestly since 2023. For example, the U.S. consumer price index, an inflation gauge that measures costs across dozens of items, rose 2.7%, 2.9% and 3.4% in December 2025, December 2024 and December 2023, respectively, compared to the prior year. It remains to be seen whether inflationary pressures will continue, and to what degree, as central banks respond to slowing levels of inflation. If inflationary pressures persist, we may experience increases in our voyage, administrative and operating expenses, which we may not be able to pass on to our charterers. Furthermore, the effects of inflation on the supply and demand of the products we transport could alter demand for our services. Interventions in the economy by central banks in response to inflationary pressures may slow down economic activity, including by altering consumer purchasing habits and reducing demand for the commodities and products we carry, and cause a reduction in trade. As a result, the volumes of LNG, LPG and/or goods we deliver and/or charter rates for our vessels may be affected. Any of these factors could adversely affect our business, financial condition, results of operations, liquidity, cash flows and ability to pay cash dividends and service or refinance our debt.</w:t>
      </w:r>
    </w:p>
    <w:p>
      <w:pPr>
        <w:spacing w:after="0" w:line="295"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16</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17" w:name="page18"/>
    <w:bookmarkEnd w:id="17"/>
    <w:p>
      <w:pPr>
        <w:spacing w:after="0" w:line="296" w:lineRule="auto"/>
        <w:rPr>
          <w:sz w:val="20"/>
          <w:szCs w:val="20"/>
          <w:color w:val="auto"/>
        </w:rPr>
      </w:pPr>
      <w:r>
        <w:rPr>
          <w:rFonts w:ascii="Times New Roman" w:cs="Times New Roman" w:eastAsia="Times New Roman" w:hAnsi="Times New Roman"/>
          <w:sz w:val="13"/>
          <w:szCs w:val="13"/>
          <w:b w:val="1"/>
          <w:bCs w:val="1"/>
          <w:color w:val="auto"/>
        </w:rPr>
        <w:t>LNG/C vessel, LPG carrier and container vessel values have historically been volatile. Vessel values may decrease and over time may fluctuate substantially, which may cause us to recognize losses if we sell our vessels, or record impairments and affect our ability to comply with our loan covenants or refinance our debt.</w:t>
      </w:r>
    </w:p>
    <w:p>
      <w:pPr>
        <w:spacing w:after="0" w:line="112"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The market values of LNG/C, LPG carriers and container vessels have generally experienced high volatility. LNG/C, LPG carrier and container vessel values can fluctuate substantially over time due to a number of different factors, including:</w:t>
      </w:r>
    </w:p>
    <w:p>
      <w:pPr>
        <w:spacing w:after="0" w:line="114" w:lineRule="exact"/>
        <w:rPr>
          <w:sz w:val="20"/>
          <w:szCs w:val="20"/>
          <w:color w:val="auto"/>
        </w:rPr>
      </w:pPr>
    </w:p>
    <w:p>
      <w:pPr>
        <w:ind w:left="960" w:hanging="481"/>
        <w:spacing w:after="0" w:line="292" w:lineRule="auto"/>
        <w:tabs>
          <w:tab w:leader="none" w:pos="960" w:val="left"/>
        </w:tabs>
        <w:numPr>
          <w:ilvl w:val="0"/>
          <w:numId w:val="1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prevailing economic and market conditions affecting the shipping industry (including the level of worldwide LNG and other gas, including LPG, ammonia and other petrochemicals production and exports);</w:t>
      </w:r>
    </w:p>
    <w:p>
      <w:pPr>
        <w:spacing w:after="0" w:line="114" w:lineRule="exact"/>
        <w:rPr>
          <w:rFonts w:ascii="Arial" w:cs="Arial" w:eastAsia="Arial" w:hAnsi="Arial"/>
          <w:sz w:val="13"/>
          <w:szCs w:val="13"/>
          <w:b w:val="1"/>
          <w:bCs w:val="1"/>
          <w:color w:val="auto"/>
        </w:rPr>
      </w:pPr>
    </w:p>
    <w:p>
      <w:pPr>
        <w:ind w:left="960" w:hanging="481"/>
        <w:spacing w:after="0"/>
        <w:tabs>
          <w:tab w:leader="none" w:pos="960" w:val="left"/>
        </w:tabs>
        <w:numPr>
          <w:ilvl w:val="0"/>
          <w:numId w:val="1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reduced demand for vessels, including as a result of a substantial or extended decline in world trade;</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supply of vessels and capacity;</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types, sizes and ages of vessels;</w:t>
      </w:r>
    </w:p>
    <w:p>
      <w:pPr>
        <w:spacing w:after="0" w:line="169" w:lineRule="exact"/>
        <w:rPr>
          <w:rFonts w:ascii="Arial" w:cs="Arial" w:eastAsia="Arial" w:hAnsi="Arial"/>
          <w:sz w:val="13"/>
          <w:szCs w:val="13"/>
          <w:b w:val="1"/>
          <w:bCs w:val="1"/>
          <w:color w:val="auto"/>
        </w:rPr>
      </w:pPr>
    </w:p>
    <w:p>
      <w:pPr>
        <w:ind w:left="960" w:hanging="481"/>
        <w:spacing w:after="0" w:line="292" w:lineRule="auto"/>
        <w:tabs>
          <w:tab w:leader="none" w:pos="960" w:val="left"/>
        </w:tabs>
        <w:numPr>
          <w:ilvl w:val="0"/>
          <w:numId w:val="1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prevailing charter rates, the need to upgrade vessels as a result of charterer requirements and the cost of retrofitting or modifying existing ships to respond to technological advances in vessel design or equipment;</w:t>
      </w:r>
    </w:p>
    <w:p>
      <w:pPr>
        <w:spacing w:after="0" w:line="114" w:lineRule="exact"/>
        <w:rPr>
          <w:rFonts w:ascii="Arial" w:cs="Arial" w:eastAsia="Arial" w:hAnsi="Arial"/>
          <w:sz w:val="13"/>
          <w:szCs w:val="13"/>
          <w:b w:val="1"/>
          <w:bCs w:val="1"/>
          <w:color w:val="auto"/>
        </w:rPr>
      </w:pPr>
    </w:p>
    <w:p>
      <w:pPr>
        <w:ind w:left="960" w:hanging="481"/>
        <w:spacing w:after="0"/>
        <w:tabs>
          <w:tab w:leader="none" w:pos="960" w:val="left"/>
        </w:tabs>
        <w:numPr>
          <w:ilvl w:val="0"/>
          <w:numId w:val="1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changes in applicable environmental or other regulations or standards, including regulations or standards which relate to the reduction of greenhouse emissions;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prevailing newbuild prices for similar vessels;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prevailing demolition prices for similar vessels;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availability of capital for investment in vessels, including ship finance and public equity;</w:t>
      </w:r>
    </w:p>
    <w:p>
      <w:pPr>
        <w:spacing w:after="0" w:line="169" w:lineRule="exact"/>
        <w:rPr>
          <w:rFonts w:ascii="Arial" w:cs="Arial" w:eastAsia="Arial" w:hAnsi="Arial"/>
          <w:sz w:val="13"/>
          <w:szCs w:val="13"/>
          <w:b w:val="1"/>
          <w:bCs w:val="1"/>
          <w:color w:val="auto"/>
        </w:rPr>
      </w:pPr>
    </w:p>
    <w:p>
      <w:pPr>
        <w:ind w:left="960" w:hanging="481"/>
        <w:spacing w:after="0" w:line="292" w:lineRule="auto"/>
        <w:tabs>
          <w:tab w:leader="none" w:pos="960" w:val="left"/>
        </w:tabs>
        <w:numPr>
          <w:ilvl w:val="0"/>
          <w:numId w:val="1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supply of vessels in the market for sale, including mass disposals of vessels controlled by financing institutions, “fire sales” of vessels by some of our competitors or other fleet-owners that may be in distress, or commercial banks foreclosing on collateral from time to time;</w:t>
      </w:r>
    </w:p>
    <w:p>
      <w:pPr>
        <w:spacing w:after="0" w:line="114" w:lineRule="exact"/>
        <w:rPr>
          <w:rFonts w:ascii="Arial" w:cs="Arial" w:eastAsia="Arial" w:hAnsi="Arial"/>
          <w:sz w:val="13"/>
          <w:szCs w:val="13"/>
          <w:b w:val="1"/>
          <w:bCs w:val="1"/>
          <w:color w:val="auto"/>
        </w:rPr>
      </w:pPr>
    </w:p>
    <w:p>
      <w:pPr>
        <w:ind w:left="960" w:hanging="481"/>
        <w:spacing w:after="0"/>
        <w:tabs>
          <w:tab w:leader="none" w:pos="960" w:val="left"/>
        </w:tabs>
        <w:numPr>
          <w:ilvl w:val="0"/>
          <w:numId w:val="1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competition from other shipping companies and the availability of other modes of transportation.</w:t>
      </w:r>
    </w:p>
    <w:p>
      <w:pPr>
        <w:spacing w:after="0" w:line="169"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If the market values of our vessels deteriorate, we may be required to record an impairment charge in our financial statements. Furthermore, if a charter expires or is terminated, we may be unable to re-charter the vessel at an acceptable rate and, rather than continue to incur costs to maintain the vessel, we may seek to dispose of it. Our inability to dispose of one or more of our vessels at a reasonable price could result in a loss. A decline in the market value of our vessels could also lead to a default under our financing arrangements and limit our ability to service or refinance our debt and to obtain adequate financing to finance the delivery of the nine latest generation LNG/C vessels and nine LPG carriers we have agreed to acquire. If any of these circumstances were to happen, our business, financial condition, results of operations, cash flows and ability to pay dividends may be materially and adversely affected.</w:t>
      </w:r>
    </w:p>
    <w:p>
      <w:pPr>
        <w:spacing w:after="0" w:line="133"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17</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18" w:name="page19"/>
    <w:bookmarkEnd w:id="18"/>
    <w:p>
      <w:pPr>
        <w:spacing w:after="0" w:line="296" w:lineRule="auto"/>
        <w:rPr>
          <w:sz w:val="20"/>
          <w:szCs w:val="20"/>
          <w:color w:val="auto"/>
        </w:rPr>
      </w:pPr>
      <w:r>
        <w:rPr>
          <w:rFonts w:ascii="Times New Roman" w:cs="Times New Roman" w:eastAsia="Times New Roman" w:hAnsi="Times New Roman"/>
          <w:sz w:val="13"/>
          <w:szCs w:val="13"/>
          <w:b w:val="1"/>
          <w:bCs w:val="1"/>
          <w:color w:val="auto"/>
        </w:rPr>
        <w:t>Our growth and our ability to charter our vessels depend on, among other things, our ability to expand relationships with existing charterers and develop relationships with new charterers, for which we will face substantial competition.</w:t>
      </w:r>
    </w:p>
    <w:p>
      <w:pPr>
        <w:spacing w:after="0" w:line="112"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The process of obtaining new medium to long-term time charters or bareboat charters on our vessels, is highly competitive, generally involves an intensive screening process and competitive bids, and often extends for several months.</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Charters for vessels of the type we own are awarded based upon a variety of factors related to the vessel owner, including, among other things:</w:t>
      </w:r>
    </w:p>
    <w:p>
      <w:pPr>
        <w:spacing w:after="0" w:line="170" w:lineRule="exact"/>
        <w:rPr>
          <w:sz w:val="20"/>
          <w:szCs w:val="20"/>
          <w:color w:val="auto"/>
        </w:rPr>
      </w:pPr>
    </w:p>
    <w:p>
      <w:pPr>
        <w:ind w:left="960" w:hanging="481"/>
        <w:spacing w:after="0"/>
        <w:tabs>
          <w:tab w:leader="none" w:pos="960" w:val="left"/>
        </w:tabs>
        <w:numPr>
          <w:ilvl w:val="0"/>
          <w:numId w:val="1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shipping industry relationships and reputation for charterer service and safety;</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environmental, operational and safety track record;</w:t>
      </w:r>
    </w:p>
    <w:p>
      <w:pPr>
        <w:spacing w:after="0" w:line="167" w:lineRule="exact"/>
        <w:rPr>
          <w:rFonts w:ascii="Arial" w:cs="Arial" w:eastAsia="Arial" w:hAnsi="Arial"/>
          <w:sz w:val="13"/>
          <w:szCs w:val="13"/>
          <w:b w:val="1"/>
          <w:bCs w:val="1"/>
          <w:color w:val="auto"/>
        </w:rPr>
      </w:pPr>
    </w:p>
    <w:p>
      <w:pPr>
        <w:ind w:left="960" w:hanging="481"/>
        <w:spacing w:after="0" w:line="295" w:lineRule="auto"/>
        <w:tabs>
          <w:tab w:leader="none" w:pos="960" w:val="left"/>
        </w:tabs>
        <w:numPr>
          <w:ilvl w:val="0"/>
          <w:numId w:val="1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vetting and audit approvals of the ship manager and vessel as part of charterers’ risk assessment processes (See also “</w:t>
      </w:r>
      <w:r>
        <w:rPr>
          <w:rFonts w:ascii="Times New Roman" w:cs="Times New Roman" w:eastAsia="Times New Roman" w:hAnsi="Times New Roman"/>
          <w:sz w:val="13"/>
          <w:szCs w:val="13"/>
          <w:i w:val="1"/>
          <w:iCs w:val="1"/>
          <w:color w:val="auto"/>
        </w:rPr>
        <w:t>—Risks Related to Our Business and Operations—Our vessels’ present and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future employment could be adversely affected by an inability to clear charterers’ risk assessment process.</w:t>
      </w:r>
      <w:r>
        <w:rPr>
          <w:rFonts w:ascii="Times New Roman" w:cs="Times New Roman" w:eastAsia="Times New Roman" w:hAnsi="Times New Roman"/>
          <w:sz w:val="13"/>
          <w:szCs w:val="13"/>
          <w:color w:val="auto"/>
        </w:rPr>
        <w:t>”);</w:t>
      </w:r>
    </w:p>
    <w:p>
      <w:pPr>
        <w:spacing w:after="0" w:line="112" w:lineRule="exact"/>
        <w:rPr>
          <w:rFonts w:ascii="Arial" w:cs="Arial" w:eastAsia="Arial" w:hAnsi="Arial"/>
          <w:sz w:val="13"/>
          <w:szCs w:val="13"/>
          <w:b w:val="1"/>
          <w:bCs w:val="1"/>
          <w:color w:val="auto"/>
        </w:rPr>
      </w:pPr>
    </w:p>
    <w:p>
      <w:pPr>
        <w:ind w:left="960" w:hanging="481"/>
        <w:spacing w:after="0"/>
        <w:tabs>
          <w:tab w:leader="none" w:pos="960" w:val="left"/>
        </w:tabs>
        <w:numPr>
          <w:ilvl w:val="0"/>
          <w:numId w:val="1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Applicable experience and quality of vessel operations, including cost effectiveness;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quality and experience of seafaring crew;</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ability to finance vessels at competitive rates and the vessel owner’s financial stability generally;</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relationships with shipyards and the ability to get suitable berths;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construction management experience, including the ability to obtain on-time delivery of new vessels according to charterers’ specifications;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willingness to accept operational risks under the charter, such as allowing termination of the charter for force majeure events; and</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competitiveness of the bid in terms of overall price.</w:t>
      </w:r>
    </w:p>
    <w:p>
      <w:pPr>
        <w:spacing w:after="0" w:line="169"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Competition for providing vessels for chartering purposes comes from a number of experienced shipping companies, including direct competition from other independent vessel owners and indirect competition from state-sponsored and other major entities with their own fleets. Some of our competitors have significantly greater financial resources than we do and can operate larger fleets and may be able to offer better charter rates. Furthermore, these markets are highly fragmented. Due in part to the highly fragmented market, competitors with greater resources could enter the LNG/C shipping, LPG carriage or container shipping industry and operate larger fleets through consolidations or acquisitions and may be able to offer lower charter rates than we are able to offer. Although we believe that no single competitor has a dominant position in the markets in which we compete, we are aware that certain competitors may be able to devote greater financial and other resources to their activities than we can, resulting in a significant competitive threat to us. This increased competition in the shipping markets in which we operate may cause greater price competition for time charters. As a result of these factors, we may be unable to expand our relationships with existing charterers or to develop relationships with new charterers on a profitable basis, if at all, which could harm our business, financial condition, results of operations, cash flows and ability to pay cash dividends and to service or refinance our debt.</w:t>
      </w:r>
    </w:p>
    <w:p>
      <w:pPr>
        <w:spacing w:after="0" w:line="137"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18</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19" w:name="page20"/>
    <w:bookmarkEnd w:id="19"/>
    <w:p>
      <w:pPr>
        <w:jc w:val="both"/>
        <w:spacing w:after="0" w:line="296" w:lineRule="auto"/>
        <w:rPr>
          <w:sz w:val="20"/>
          <w:szCs w:val="20"/>
          <w:color w:val="auto"/>
        </w:rPr>
      </w:pPr>
      <w:r>
        <w:rPr>
          <w:rFonts w:ascii="Times New Roman" w:cs="Times New Roman" w:eastAsia="Times New Roman" w:hAnsi="Times New Roman"/>
          <w:sz w:val="13"/>
          <w:szCs w:val="13"/>
          <w:b w:val="1"/>
          <w:bCs w:val="1"/>
          <w:color w:val="auto"/>
        </w:rPr>
        <w:t>If a more active short-term or spot market develops, we may have more difficulty entering into medium- to long-term, fixed-rate time charters and our existing charterers may begin to pressure us to reduce our charter rates.</w:t>
      </w:r>
    </w:p>
    <w:p>
      <w:pPr>
        <w:spacing w:after="0" w:line="112" w:lineRule="exact"/>
        <w:rPr>
          <w:sz w:val="20"/>
          <w:szCs w:val="20"/>
          <w:color w:val="auto"/>
        </w:rPr>
      </w:pPr>
    </w:p>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One of our principal strategies is to enter into medium- to long-term, fixed-rate time charters. As of the date of this annual report, our LNG/C vessels currently on-the-water are under medium to long-term time charters expiring at the earliest in 2026 (one carrier), 2028 (one carrier), 2029 (one carrier), 2031 (four carriers), 2032 (two carriers) and 2034 (three carriers). As of the date of this annual report, our container vessel is chartered for more than six years. On redelivery from their present charters, our vessels may operate in the short-term or spot market unless and until we are able to secure new medium- to long-term charters. As more vessels become available for the short-term or spot market, we may have difficulty entering into additional medium- to long-term, fixed-rate time charters for our vessels due to the increased supply of vessels and possibly lower rates in the spot market. See “—Risks Related to Our Industry—</w:t>
      </w:r>
      <w:r>
        <w:rPr>
          <w:rFonts w:ascii="Times New Roman" w:cs="Times New Roman" w:eastAsia="Times New Roman" w:hAnsi="Times New Roman"/>
          <w:sz w:val="13"/>
          <w:szCs w:val="13"/>
          <w:i w:val="1"/>
          <w:iCs w:val="1"/>
          <w:color w:val="auto"/>
        </w:rPr>
        <w:t>An oversupply of vessel capacity may prolong or depress current charter rates and adversely affect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our ability to charter our vessels at profitable rates or at all.</w:t>
      </w:r>
      <w:r>
        <w:rPr>
          <w:rFonts w:ascii="Times New Roman" w:cs="Times New Roman" w:eastAsia="Times New Roman" w:hAnsi="Times New Roman"/>
          <w:sz w:val="13"/>
          <w:szCs w:val="13"/>
          <w:color w:val="auto"/>
        </w:rPr>
        <w:t>”</w:t>
      </w:r>
    </w:p>
    <w:p>
      <w:pPr>
        <w:spacing w:after="0" w:line="135"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In recent years, global natural gas, LPG and crude oil prices have been volatile. Any decline in oil prices can depress natural gas and LPG prices and lead to a narrowing of the difference in pricing between geographic regions, which can adversely affect the length of voyages in the spot LNG and LPG shipping markets and the spot rates and medium-term charter rates for charters which commence in the near future. In addition, advances in LNG/C and LPG carrier technology may negatively impact our ability to charter our LNG/C vessels at attractive rates and may result in lower levels of utilization.</w:t>
      </w:r>
    </w:p>
    <w:p>
      <w:pPr>
        <w:spacing w:after="0" w:line="127"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Operating vessels in the spot market or being unable to re-charter vessels on long-term charters with similar or better rates may mean that our revenues and cash flows from these vessels will decline following the expiration of our current charters. This could have a material adverse effect on our business results or operations, cash flows and our ability to pay cash dividends and service or refinance our debt. In particular, a sustained decline in our charter rates and employment opportunities could adversely affect the market value of our vessels, on which certain ratios and financial covenants with which we are required to comply are based. A significant decline in the market value of our vessels could impact our compliance with covenants in our financing arrangements and, if the values are lower at a time when we are attempting to dispose of vessels, could cause us to incur a loss. See “</w:t>
      </w:r>
      <w:r>
        <w:rPr>
          <w:rFonts w:ascii="Times New Roman" w:cs="Times New Roman" w:eastAsia="Times New Roman" w:hAnsi="Times New Roman"/>
          <w:sz w:val="13"/>
          <w:szCs w:val="13"/>
          <w:i w:val="1"/>
          <w:iCs w:val="1"/>
          <w:color w:val="auto"/>
        </w:rPr>
        <w:t>—LNG/C vessel, LPG carrier and container vessel values have historically been volatile. Vessel values may decrease and over time may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fluctuate substantially, which may cause us to recognize losses if we sell our vessels, or record impairments and affect our ability to comply with our loan covenants or refinance our debt.</w:t>
      </w:r>
      <w:r>
        <w:rPr>
          <w:rFonts w:ascii="Times New Roman" w:cs="Times New Roman" w:eastAsia="Times New Roman" w:hAnsi="Times New Roman"/>
          <w:sz w:val="13"/>
          <w:szCs w:val="13"/>
          <w:color w:val="auto"/>
        </w:rPr>
        <w:t>” above and</w:t>
      </w:r>
      <w:r>
        <w:rPr>
          <w:rFonts w:ascii="Times New Roman" w:cs="Times New Roman" w:eastAsia="Times New Roman" w:hAnsi="Times New Roman"/>
          <w:sz w:val="13"/>
          <w:szCs w:val="13"/>
          <w:i w:val="1"/>
          <w:iCs w:val="1"/>
          <w:color w:val="auto"/>
        </w:rPr>
        <w:t xml:space="preserve"> “—Risks Related to Our Business and Operations—We may not realize the benefits anticipated from our change in business focus to concentrate on the LNG/C market, the LPG carriage market and the wider energy transition gas market, which could adversely affect the value of our securities.” below.</w:t>
      </w:r>
    </w:p>
    <w:p>
      <w:pPr>
        <w:spacing w:after="0" w:line="137"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19</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b w:val="1"/>
          <w:bCs w:val="1"/>
          <w:color w:val="auto"/>
        </w:rPr>
        <w:t>RISKS RELATED TO OUR BUSINESS AND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We may not realize the benefits anticipated from the Newbuild LNG/C Vessels and the Gas Fleet that we have agreed to acquire, which could adversely affect the value of our securities.</w:t>
      </w:r>
    </w:p>
    <w:p>
      <w:pPr>
        <w:spacing w:after="0" w:line="172" w:lineRule="exact"/>
        <w:rPr>
          <w:sz w:val="20"/>
          <w:szCs w:val="20"/>
          <w:color w:val="auto"/>
        </w:rPr>
      </w:pPr>
    </w:p>
    <w:p>
      <w:pPr>
        <w:jc w:val="both"/>
        <w:ind w:firstLine="479"/>
        <w:spacing w:after="0" w:line="235" w:lineRule="auto"/>
        <w:rPr>
          <w:sz w:val="20"/>
          <w:szCs w:val="20"/>
          <w:color w:val="auto"/>
        </w:rPr>
      </w:pPr>
      <w:r>
        <w:rPr>
          <w:rFonts w:ascii="Times New Roman" w:cs="Times New Roman" w:eastAsia="Times New Roman" w:hAnsi="Times New Roman"/>
          <w:sz w:val="13"/>
          <w:szCs w:val="13"/>
          <w:color w:val="auto"/>
        </w:rPr>
        <w:t>The anticipated benefits from the acquisitions of the Under Construction Fleet are based on projections and assumptions about the impact of the additional vessels on our business, which may not materialize as expected or which may prove to be inaccurate. Our ability to achieve the anticipated benefits will depend on our ability to secure long-term charters at acceptable day rates for each vessel in our Under Construction Fleet. We may face challenges securing long-term charters for such vessels, including as a result of macroeconomic factors and changes to the global charter market (including the progress of development of large-scale markets for the carriage of low carbon ammonia and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and the relationships and reputations of our Managers in the shipping industry. If we are unable to secure long-term charters for such vessels, we may be unable to make required principal and interest payments on our financing arrangements. If we do not achieve the anticipated benefits from the acquisitions of the vessels in our Under Construction Fleet and our operating results and the value of our securities could be materially and adversely affected.</w:t>
      </w:r>
    </w:p>
    <w:p>
      <w:pPr>
        <w:spacing w:after="0" w:line="14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3"/>
          <w:szCs w:val="13"/>
          <w:b w:val="1"/>
          <w:bCs w:val="1"/>
          <w:color w:val="auto"/>
        </w:rPr>
        <w:t>We may not realize the benefits anticipated from our change in business focus to concentrate on the LNG/C market, the LPG carriage market and the wider energy transition gas market, which could adversely affect the value of our securities.</w:t>
      </w:r>
    </w:p>
    <w:p>
      <w:pPr>
        <w:spacing w:after="0" w:line="112" w:lineRule="exact"/>
        <w:rPr>
          <w:sz w:val="20"/>
          <w:szCs w:val="20"/>
          <w:color w:val="auto"/>
        </w:rPr>
      </w:pPr>
    </w:p>
    <w:p>
      <w:pPr>
        <w:jc w:val="both"/>
        <w:ind w:firstLine="479"/>
        <w:spacing w:after="0"/>
        <w:rPr>
          <w:sz w:val="20"/>
          <w:szCs w:val="20"/>
          <w:color w:val="auto"/>
        </w:rPr>
      </w:pPr>
      <w:r>
        <w:rPr>
          <w:rFonts w:ascii="Times New Roman" w:cs="Times New Roman" w:eastAsia="Times New Roman" w:hAnsi="Times New Roman"/>
          <w:sz w:val="13"/>
          <w:szCs w:val="13"/>
          <w:color w:val="auto"/>
        </w:rPr>
        <w:t>Pursuant to the Umbrella Agreement, we have agreed with Capital Maritime and CGP LLC to change our business focus to concentrate on the LNG/C market. We also expect to focus on the LPG carriage market and the wider energy transition gas market, such as the carriage of low carbon ammonia and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Pursuant to the Umbrella Agreement, we also committed to explore the disposition of our container vessels and to abstain from acquiring additional container vessels. In connection with our intention to gradually divest from our container vessels, which we announced on November 13, 2023, we have sold or agreed to sell to unaffiliated third parties all of our legacy container carrier vessels, except for the M/V Itajai Express. While we have taken significant steps to change our business focus to concentrate on the LNG/C market, the LPG carriage market and the wider energy transition gas market, we can provide no assurances that we will not return to the container market or the dry bulk market, or that we will not explore additional shipping markets. We can also provide no assurances as to whether or when we will complete the disposition of our legacy container vessel. If we do not complete the disposition of the M/V Itajai Express, or if we otherwise do not concentrate our business focus on the LNG/C market, the LPG carriage market and the wider energy transition gas market, then we may not realize the benefits anticipated from the transactions contemplated by the Umbrella Agreement and the acquisition of vessels in our Under Construction Fleet and our operating results and the value of our common shares could be materially and adversely affected.</w:t>
      </w:r>
    </w:p>
    <w:p>
      <w:pPr>
        <w:spacing w:after="0" w:line="308" w:lineRule="exact"/>
        <w:rPr>
          <w:sz w:val="20"/>
          <w:szCs w:val="20"/>
          <w:color w:val="auto"/>
        </w:rPr>
      </w:pPr>
    </w:p>
    <w:p>
      <w:pPr>
        <w:jc w:val="both"/>
        <w:ind w:firstLine="479"/>
        <w:spacing w:after="0" w:line="205" w:lineRule="auto"/>
        <w:rPr>
          <w:sz w:val="20"/>
          <w:szCs w:val="20"/>
          <w:color w:val="auto"/>
        </w:rPr>
      </w:pPr>
      <w:r>
        <w:rPr>
          <w:rFonts w:ascii="Times New Roman" w:cs="Times New Roman" w:eastAsia="Times New Roman" w:hAnsi="Times New Roman"/>
          <w:sz w:val="13"/>
          <w:szCs w:val="13"/>
          <w:color w:val="auto"/>
        </w:rPr>
        <w:t>The anticipated benefits from our change in business focus are, necessarily, based on projections and assumptions about the growth of the LNG/C and LPG carriage markets and our ability to capitalize on LNG/C and LPG carriage market opportunities, as well as the development of large-scale markets for the carriage of low carbon ammonia and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and our ability to capitalize on opportunities in those markets, which may not materialize as expected or which may prove to be inaccurate. While we expect that both natural gas and LNG will play a key role in the energy transition, it is possible that the public perception of the environmental impact of LNG may change. In addition, while we expect that large-scale markets for the carriage of low carbon ammonia and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will develop, attitudes and trends with respect to environmental matters and the energy transition continue to evolve and we cannot forecast when such markets will develop or guarantee that such markets will develop. If our expectations about the growth of the LNG/C and LPG carriage markets, the role of LNG in the energy transition and the development of large-scale markets for the carriage of low carbon ammonia and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do not materialize or prove to be inaccurate, we may not realize the benefits anticipated from our change in business focus and our operating results and the value of our securities could be materially and adversely affected.</w:t>
      </w:r>
    </w:p>
    <w:p>
      <w:pPr>
        <w:spacing w:after="0" w:line="148"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20</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b w:val="1"/>
          <w:bCs w:val="1"/>
          <w:color w:val="auto"/>
        </w:rPr>
        <w:t>Marine transportation is inherently risky, and an incident involving significant loss of, or environmental contamination by, any of our vessels could harm our reputation and business.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Our vessels and their cargoes are at risk of being damaged or lost because of events such as:</w:t>
      </w:r>
    </w:p>
    <w:p>
      <w:pPr>
        <w:spacing w:after="0" w:line="170" w:lineRule="exact"/>
        <w:rPr>
          <w:sz w:val="20"/>
          <w:szCs w:val="20"/>
          <w:color w:val="auto"/>
        </w:rPr>
      </w:pPr>
    </w:p>
    <w:p>
      <w:pPr>
        <w:ind w:left="960" w:hanging="481"/>
        <w:spacing w:after="0"/>
        <w:tabs>
          <w:tab w:leader="none" w:pos="960" w:val="left"/>
        </w:tabs>
        <w:numPr>
          <w:ilvl w:val="0"/>
          <w:numId w:val="1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marine disasters;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bad weather (including severe weather events resulting from climate change);</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mechanical failures;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grounding, fire, explosions and collisions;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piracy;</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human error; and</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war and terrorism.</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An accident involving any of our vessels could result in any of the following:</w:t>
      </w:r>
    </w:p>
    <w:p>
      <w:pPr>
        <w:spacing w:after="0" w:line="170" w:lineRule="exact"/>
        <w:rPr>
          <w:sz w:val="20"/>
          <w:szCs w:val="20"/>
          <w:color w:val="auto"/>
        </w:rPr>
      </w:pPr>
    </w:p>
    <w:p>
      <w:pPr>
        <w:ind w:left="960" w:hanging="481"/>
        <w:spacing w:after="0"/>
        <w:tabs>
          <w:tab w:leader="none" w:pos="960" w:val="left"/>
        </w:tabs>
        <w:numPr>
          <w:ilvl w:val="0"/>
          <w:numId w:val="1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environmental damage;</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death or injury to persons, or loss of property;</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delays in the delivery of cargo;</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loss of revenues from, or termination of, charter contracts;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governmental fines, penalties or restrictions on conducting business;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higher insurance rates;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damage to our reputation and customer relationships generally; and</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subsequent vessel underperformance.</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Any of these results could have a material adverse effect on our business, financial condition, operating results and ability to pay cash dividends and to service or refinance our debt.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Political and government instability can affect the industries in which we operate, which may adversely affect our business.</w:t>
      </w:r>
    </w:p>
    <w:p>
      <w:pPr>
        <w:spacing w:after="0" w:line="172"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We conduct most of our operations outside of the United States, and our business, results of operations, cash flows, financial condition and ability to pay cash dividends and service or refinance our debt may be adversely affected by the effects of political instability, terrorist or other attacks, war or international hostilities. Terrorist attacks and the continuing response of countries to these attacks, as well as other current and future conflicts, contribute to world economic instability and uncertainty in global financial markets. Terrorist attacks and political instability could result in increased volatility of the financial markets in the United States and globally, and could negatively impact the U.S. and world economy, potentially leading to an economic recession. These uncertainties could also adversely affect our ability to obtain additional financing on terms acceptable to us or at all.</w:t>
      </w:r>
    </w:p>
    <w:p>
      <w:pPr>
        <w:spacing w:after="0" w:line="133"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21</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22" w:name="page23"/>
    <w:bookmarkEnd w:id="22"/>
    <w:p>
      <w:pPr>
        <w:jc w:val="both"/>
        <w:ind w:firstLine="479"/>
        <w:spacing w:after="0" w:line="272" w:lineRule="auto"/>
        <w:rPr>
          <w:sz w:val="20"/>
          <w:szCs w:val="20"/>
          <w:color w:val="auto"/>
        </w:rPr>
      </w:pPr>
      <w:r>
        <w:rPr>
          <w:rFonts w:ascii="Times New Roman" w:cs="Times New Roman" w:eastAsia="Times New Roman" w:hAnsi="Times New Roman"/>
          <w:sz w:val="13"/>
          <w:szCs w:val="13"/>
          <w:color w:val="auto"/>
        </w:rPr>
        <w:t>Political instability has also resulted in attacks on vessels, mining of waterways and other efforts to disrupt international shipping, particularly in the Arabian Gulf region. Acts of terrorism and piracy have also affected vesselstrading in regions such as the South China Sea and the Gulf of Aden off the coast of Somalia. Recently, militia attacks on commercial vessels in the Red Sea have occurred in connection with the conflict in the Middle East. Any such attacks could lead to, among other things, bodily injury or loss of life, vessel or other property damage and increased vessel operational costs, including insurance costs.</w:t>
      </w:r>
    </w:p>
    <w:p>
      <w:pPr>
        <w:spacing w:after="0" w:line="290" w:lineRule="exact"/>
        <w:rPr>
          <w:sz w:val="20"/>
          <w:szCs w:val="20"/>
          <w:color w:val="auto"/>
        </w:rPr>
      </w:pPr>
    </w:p>
    <w:p>
      <w:pPr>
        <w:jc w:val="both"/>
        <w:ind w:firstLine="479"/>
        <w:spacing w:after="0" w:line="267" w:lineRule="auto"/>
        <w:rPr>
          <w:sz w:val="20"/>
          <w:szCs w:val="20"/>
          <w:color w:val="auto"/>
        </w:rPr>
      </w:pPr>
      <w:r>
        <w:rPr>
          <w:rFonts w:ascii="Times New Roman" w:cs="Times New Roman" w:eastAsia="Times New Roman" w:hAnsi="Times New Roman"/>
          <w:sz w:val="13"/>
          <w:szCs w:val="13"/>
          <w:color w:val="auto"/>
        </w:rPr>
        <w:t>Furthermore, our operations may be adversely affected by changing or adverse political and governmental conditions in the countries where our vessels are flagged or registered and in the regions where we otherwise engage in business. Our operations may also be adversely affected by expropriation of vessels, taxes, regulation, tariffs, trade embargoes, economic sanctions or a disruption of, or limit to trading activities, or other adverse events or circumstances in or affecting the countries and regions where we operate. Recent actions by the United States have created new restrictions on trade and increased the likelihood of changes to the relationship between the United States and other exporting countries and any further increase in trade barriers or restrictions on trade in the United States could adversely affect our operations.</w:t>
      </w:r>
    </w:p>
    <w:p>
      <w:pPr>
        <w:spacing w:after="0" w:line="293"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The ongoing conflicts in the Middle East and between Russia and Ukraine may lead to further regional and international conflicts or armed action. In addition to the attacks in the Red Sea, the invasion of Ukraine has disrupted supply chains, caused instability in the global economy and added pressure to already rising inflation; these effects are likely to continue and possibly compound as the conflict remains ongoing. Economic sanctions levied on Russia, its leaders and on Russian oil and oil products may cause further global economic downturns, including additional increases in bunker costs, and the ongoing conflict could result in the imposition of further economic sanctions by the United States and the EU against Russia. While much uncertainty remains regarding the global impact of the conflict in Ukraine, it is possible that such tensions could adversely affect our business, financial condition, results of operation and cash flows. In 2025, Russian LNG exports accounted for approximately 7% of the global trade. Russian gas accounted for less than 13% of all natural gas consumed in Europe during 2025. Furthermore, it is possible that third parties with whom we have charter contracts may be impacted by events in Russia, Ukraine, and the Middle East, which could adversely affect our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Acts of piracy or other attacks by paramilitary groups and/or militias on ocean-going vessels have continued and could adversely affect our business.</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Acts of piracy have historically affected ocean-going vessels trading in regions of the world such as the South China Sea, the Indian Ocean, the Gulf of Aden off the coast of Somalia and the Red Sea. Although the frequency of sea piracy worldwide has decreased in recent years, sea piracy incidents continue to occur, particularly in the Gulf of Aden off the coast of Somalia and in the Gulf of Guinea. In addition, at the end of 2023 and throughout 2025, militia attacks on commercial vessels in the Red Sea occurred in connection with the conflict in the Middle East.</w:t>
      </w:r>
    </w:p>
    <w:p>
      <w:pPr>
        <w:spacing w:after="0" w:line="127"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If these attacks result in regions in which our vessels are deployed being characterized by insurers as “war risk” zones or “listed areas”, premiums payable for insurance coverage for our vessels could increase significantly and such insurance coverage may be more difficult to obtain. In addition, crew costs, including costs which may be incurred due to the deployment of onboard security guards, could increase in such circumstances. While the use of security guards is intended to deter and prevent the hijacking of our vessels, it could also increase our risk of liability for death or injury to persons or damage to personal property. Although we believe we are adequately insured to cover loss attributable to such incidents, there is still a risk that such incidents may result in significant unrecoverable loss which could have a material adverse effect on us.</w:t>
      </w:r>
    </w:p>
    <w:p>
      <w:pPr>
        <w:spacing w:after="0" w:line="133"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22</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b w:val="1"/>
          <w:bCs w:val="1"/>
          <w:color w:val="auto"/>
        </w:rPr>
        <w:t>We may not be able to grow our business, or to effectively manage our growth, which could negatively affect our competitiveness and financial condition.</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Our success depends on our ability to grow our business. The growth of our business depends upon a variety of factors, some of which we cannot control. These factors include, among other things:</w:t>
      </w:r>
    </w:p>
    <w:p>
      <w:pPr>
        <w:spacing w:after="0" w:line="170" w:lineRule="exact"/>
        <w:rPr>
          <w:sz w:val="20"/>
          <w:szCs w:val="20"/>
          <w:color w:val="auto"/>
        </w:rPr>
      </w:pPr>
    </w:p>
    <w:p>
      <w:pPr>
        <w:ind w:left="960" w:hanging="481"/>
        <w:spacing w:after="0"/>
        <w:tabs>
          <w:tab w:leader="none" w:pos="960" w:val="left"/>
        </w:tabs>
        <w:numPr>
          <w:ilvl w:val="0"/>
          <w:numId w:val="1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our ability to:</w:t>
      </w:r>
    </w:p>
    <w:p>
      <w:pPr>
        <w:spacing w:after="0" w:line="169" w:lineRule="exact"/>
        <w:rPr>
          <w:rFonts w:ascii="Arial" w:cs="Arial" w:eastAsia="Arial" w:hAnsi="Arial"/>
          <w:sz w:val="13"/>
          <w:szCs w:val="13"/>
          <w:b w:val="1"/>
          <w:bCs w:val="1"/>
          <w:color w:val="auto"/>
        </w:rPr>
      </w:pPr>
    </w:p>
    <w:p>
      <w:pPr>
        <w:ind w:left="1440" w:hanging="482"/>
        <w:spacing w:after="0"/>
        <w:tabs>
          <w:tab w:leader="none" w:pos="1440" w:val="left"/>
        </w:tabs>
        <w:numPr>
          <w:ilvl w:val="1"/>
          <w:numId w:val="1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capitalize on opportunities in the markets in which we operate by fixing time or bareboat charters for our vessels at attractive rates;</w:t>
      </w:r>
    </w:p>
    <w:p>
      <w:pPr>
        <w:spacing w:after="0" w:line="169" w:lineRule="exact"/>
        <w:rPr>
          <w:rFonts w:ascii="Arial" w:cs="Arial" w:eastAsia="Arial" w:hAnsi="Arial"/>
          <w:sz w:val="13"/>
          <w:szCs w:val="13"/>
          <w:b w:val="1"/>
          <w:bCs w:val="1"/>
          <w:color w:val="auto"/>
        </w:rPr>
      </w:pPr>
    </w:p>
    <w:p>
      <w:pPr>
        <w:ind w:left="1440" w:hanging="482"/>
        <w:spacing w:after="0"/>
        <w:tabs>
          <w:tab w:leader="none" w:pos="1440" w:val="left"/>
        </w:tabs>
        <w:numPr>
          <w:ilvl w:val="1"/>
          <w:numId w:val="1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obtain required financing and access to capital markets for new and existing operations;</w:t>
      </w:r>
    </w:p>
    <w:p>
      <w:pPr>
        <w:spacing w:after="0" w:line="169" w:lineRule="exact"/>
        <w:rPr>
          <w:rFonts w:ascii="Arial" w:cs="Arial" w:eastAsia="Arial" w:hAnsi="Arial"/>
          <w:sz w:val="13"/>
          <w:szCs w:val="13"/>
          <w:b w:val="1"/>
          <w:bCs w:val="1"/>
          <w:color w:val="auto"/>
        </w:rPr>
      </w:pPr>
    </w:p>
    <w:p>
      <w:pPr>
        <w:ind w:left="1440" w:hanging="482"/>
        <w:spacing w:after="0"/>
        <w:tabs>
          <w:tab w:leader="none" w:pos="1440" w:val="left"/>
        </w:tabs>
        <w:numPr>
          <w:ilvl w:val="1"/>
          <w:numId w:val="1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identify additional new markets;</w:t>
      </w:r>
    </w:p>
    <w:p>
      <w:pPr>
        <w:spacing w:after="0" w:line="179" w:lineRule="exact"/>
        <w:rPr>
          <w:rFonts w:ascii="Arial" w:cs="Arial" w:eastAsia="Arial" w:hAnsi="Arial"/>
          <w:sz w:val="13"/>
          <w:szCs w:val="13"/>
          <w:b w:val="1"/>
          <w:bCs w:val="1"/>
          <w:color w:val="auto"/>
        </w:rPr>
      </w:pPr>
    </w:p>
    <w:p>
      <w:pPr>
        <w:ind w:left="1440" w:hanging="482"/>
        <w:spacing w:after="0"/>
        <w:tabs>
          <w:tab w:leader="none" w:pos="1440" w:val="left"/>
        </w:tabs>
        <w:numPr>
          <w:ilvl w:val="1"/>
          <w:numId w:val="1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identify vessels and/or shipping companies for acquisitions;</w:t>
      </w:r>
    </w:p>
    <w:p>
      <w:pPr>
        <w:spacing w:after="0" w:line="169" w:lineRule="exact"/>
        <w:rPr>
          <w:rFonts w:ascii="Arial" w:cs="Arial" w:eastAsia="Arial" w:hAnsi="Arial"/>
          <w:sz w:val="13"/>
          <w:szCs w:val="13"/>
          <w:b w:val="1"/>
          <w:bCs w:val="1"/>
          <w:color w:val="auto"/>
        </w:rPr>
      </w:pPr>
    </w:p>
    <w:p>
      <w:pPr>
        <w:ind w:left="1440" w:hanging="482"/>
        <w:spacing w:after="0"/>
        <w:tabs>
          <w:tab w:leader="none" w:pos="1440" w:val="left"/>
        </w:tabs>
        <w:numPr>
          <w:ilvl w:val="1"/>
          <w:numId w:val="1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complete accretive transactions;</w:t>
      </w:r>
    </w:p>
    <w:p>
      <w:pPr>
        <w:spacing w:after="0" w:line="179" w:lineRule="exact"/>
        <w:rPr>
          <w:rFonts w:ascii="Arial" w:cs="Arial" w:eastAsia="Arial" w:hAnsi="Arial"/>
          <w:sz w:val="13"/>
          <w:szCs w:val="13"/>
          <w:b w:val="1"/>
          <w:bCs w:val="1"/>
          <w:color w:val="auto"/>
        </w:rPr>
      </w:pPr>
    </w:p>
    <w:p>
      <w:pPr>
        <w:ind w:left="1440" w:hanging="482"/>
        <w:spacing w:after="0"/>
        <w:tabs>
          <w:tab w:leader="none" w:pos="1440" w:val="left"/>
        </w:tabs>
        <w:numPr>
          <w:ilvl w:val="1"/>
          <w:numId w:val="1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integrate any acquired businesses or vessels successfully with existing operations;</w:t>
      </w:r>
    </w:p>
    <w:p>
      <w:pPr>
        <w:spacing w:after="0" w:line="169" w:lineRule="exact"/>
        <w:rPr>
          <w:rFonts w:ascii="Arial" w:cs="Arial" w:eastAsia="Arial" w:hAnsi="Arial"/>
          <w:sz w:val="13"/>
          <w:szCs w:val="13"/>
          <w:b w:val="1"/>
          <w:bCs w:val="1"/>
          <w:color w:val="auto"/>
        </w:rPr>
      </w:pPr>
    </w:p>
    <w:p>
      <w:pPr>
        <w:ind w:left="1440" w:hanging="482"/>
        <w:spacing w:after="0"/>
        <w:tabs>
          <w:tab w:leader="none" w:pos="1440" w:val="left"/>
        </w:tabs>
        <w:numPr>
          <w:ilvl w:val="1"/>
          <w:numId w:val="1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comply with existing and new regulations, such as those imposed by the IMO and other national and supra national organizations; and</w:t>
      </w:r>
    </w:p>
    <w:p>
      <w:pPr>
        <w:spacing w:after="0" w:line="169" w:lineRule="exact"/>
        <w:rPr>
          <w:rFonts w:ascii="Arial" w:cs="Arial" w:eastAsia="Arial" w:hAnsi="Arial"/>
          <w:sz w:val="13"/>
          <w:szCs w:val="13"/>
          <w:b w:val="1"/>
          <w:bCs w:val="1"/>
          <w:color w:val="auto"/>
        </w:rPr>
      </w:pPr>
    </w:p>
    <w:p>
      <w:pPr>
        <w:ind w:left="1440" w:hanging="482"/>
        <w:spacing w:after="0"/>
        <w:tabs>
          <w:tab w:leader="none" w:pos="1440" w:val="left"/>
        </w:tabs>
        <w:numPr>
          <w:ilvl w:val="1"/>
          <w:numId w:val="1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maintain our commercial and technical management agreements with our Managers or other competent managers; and</w:t>
      </w:r>
    </w:p>
    <w:p>
      <w:pPr>
        <w:spacing w:after="0" w:line="179" w:lineRule="exact"/>
        <w:rPr>
          <w:rFonts w:ascii="Arial" w:cs="Arial" w:eastAsia="Arial" w:hAnsi="Arial"/>
          <w:sz w:val="13"/>
          <w:szCs w:val="13"/>
          <w:b w:val="1"/>
          <w:bCs w:val="1"/>
          <w:color w:val="auto"/>
        </w:rPr>
      </w:pPr>
    </w:p>
    <w:p>
      <w:pPr>
        <w:ind w:left="960" w:hanging="481"/>
        <w:spacing w:after="0"/>
        <w:tabs>
          <w:tab w:leader="none" w:pos="960" w:val="left"/>
        </w:tabs>
        <w:numPr>
          <w:ilvl w:val="0"/>
          <w:numId w:val="1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ability of our Managers to hire, train and retain qualified personnel to manage, maintain and operate our business and fleet.</w:t>
      </w:r>
    </w:p>
    <w:p>
      <w:pPr>
        <w:spacing w:after="0" w:line="169"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We may not be able to acquire newly built or secondhand vessels on favorable terms, which could impede our growth and negatively impact our financial condition and ability to pay cash dividends. We may not be able to contract for newbuilds or locate suitable vessels or negotiate acceptable construction or purchase contracts with shipyards and owners, or obtain financing for such acquisitions on economically acceptable terms, or at all.</w:t>
      </w:r>
    </w:p>
    <w:p>
      <w:pPr>
        <w:spacing w:after="0" w:line="127"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Failure to effectively identify, purchase, develop, employ and integrate any vessels or businesses could negatively affect our competitiveness, business, financial condition, results of operations, cash flows and our ability to pay cash dividends and service or refinance our debt.</w:t>
      </w:r>
    </w:p>
    <w:p>
      <w:pPr>
        <w:spacing w:after="0" w:line="114"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23</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44" w:right="319" w:bottom="1440" w:gutter="0" w:footer="0" w:header="0"/>
        </w:sectPr>
      </w:pPr>
    </w:p>
    <w:bookmarkStart w:id="24" w:name="page25"/>
    <w:bookmarkEnd w:id="24"/>
    <w:p>
      <w:pPr>
        <w:jc w:val="both"/>
        <w:spacing w:after="0" w:line="296" w:lineRule="auto"/>
        <w:rPr>
          <w:sz w:val="20"/>
          <w:szCs w:val="20"/>
          <w:color w:val="auto"/>
        </w:rPr>
      </w:pPr>
      <w:r>
        <w:rPr>
          <w:rFonts w:ascii="Times New Roman" w:cs="Times New Roman" w:eastAsia="Times New Roman" w:hAnsi="Times New Roman"/>
          <w:sz w:val="13"/>
          <w:szCs w:val="13"/>
          <w:b w:val="1"/>
          <w:bCs w:val="1"/>
          <w:color w:val="auto"/>
        </w:rPr>
        <w:t>Certain of our vessels may be under time charters at rates that are at a substantial premium to the spot and period markets, and our charterers’ failure to perform under these time charters could result in a significant loss of expected future revenues and cash flows.</w:t>
      </w:r>
    </w:p>
    <w:p>
      <w:pPr>
        <w:spacing w:after="0" w:line="16" w:lineRule="exact"/>
        <w:rPr>
          <w:sz w:val="20"/>
          <w:szCs w:val="20"/>
          <w:color w:val="auto"/>
        </w:rPr>
      </w:pPr>
    </w:p>
    <w:p>
      <w:pPr>
        <w:jc w:val="both"/>
        <w:ind w:firstLine="479"/>
        <w:spacing w:after="0" w:line="298" w:lineRule="auto"/>
        <w:rPr>
          <w:sz w:val="20"/>
          <w:szCs w:val="20"/>
          <w:color w:val="auto"/>
        </w:rPr>
      </w:pPr>
      <w:r>
        <w:rPr>
          <w:rFonts w:ascii="Times New Roman" w:cs="Times New Roman" w:eastAsia="Times New Roman" w:hAnsi="Times New Roman"/>
          <w:sz w:val="13"/>
          <w:szCs w:val="13"/>
          <w:color w:val="auto"/>
        </w:rPr>
        <w:t>Our LNG/Cs and container vessel are each currently employed under medium-to-long-term time charters. Our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 HMG/C vessel is currently employed on a six month time charter with an option to extend by a further six months.</w:t>
      </w:r>
    </w:p>
    <w:p>
      <w:pPr>
        <w:spacing w:after="0" w:line="86"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Given that the rates we charge to these charterers may at times be significantly higher than the underlying charter market, failure to perform by any of them could result in a significant loss of revenues, which may materially and adversely affect our business, financial condition, results of operation, cash flows and our ability to maintain cash dividends and service or refinance our debt. We could lose these charterers or the benefits of the charters if, among other things:</w:t>
      </w:r>
    </w:p>
    <w:p>
      <w:pPr>
        <w:spacing w:after="0" w:line="127" w:lineRule="exact"/>
        <w:rPr>
          <w:sz w:val="20"/>
          <w:szCs w:val="20"/>
          <w:color w:val="auto"/>
        </w:rPr>
      </w:pPr>
    </w:p>
    <w:p>
      <w:pPr>
        <w:ind w:left="960" w:hanging="481"/>
        <w:spacing w:after="0"/>
        <w:tabs>
          <w:tab w:leader="none" w:pos="960" w:val="left"/>
        </w:tabs>
        <w:numPr>
          <w:ilvl w:val="0"/>
          <w:numId w:val="1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charterer is unable or unwilling to perform its obligations under the charters, including the payment of the agreed rates in a timely manner;</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charterer faces, or continues to face, financial difficulties forcing it to declare bankruptcy, restructure its operations or default under the charters;</w:t>
      </w:r>
    </w:p>
    <w:p>
      <w:pPr>
        <w:spacing w:after="0" w:line="169" w:lineRule="exact"/>
        <w:rPr>
          <w:rFonts w:ascii="Arial" w:cs="Arial" w:eastAsia="Arial" w:hAnsi="Arial"/>
          <w:sz w:val="13"/>
          <w:szCs w:val="13"/>
          <w:b w:val="1"/>
          <w:bCs w:val="1"/>
          <w:color w:val="auto"/>
        </w:rPr>
      </w:pPr>
    </w:p>
    <w:p>
      <w:pPr>
        <w:ind w:left="960" w:hanging="481"/>
        <w:spacing w:after="0" w:line="292" w:lineRule="auto"/>
        <w:tabs>
          <w:tab w:leader="none" w:pos="960" w:val="left"/>
        </w:tabs>
        <w:numPr>
          <w:ilvl w:val="0"/>
          <w:numId w:val="1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charterer fails to make charter payments because of its financial inability or its inability to trade our and other vessels profitably or due to the occurrence of losses due to the weaker charter markets;</w:t>
      </w:r>
    </w:p>
    <w:p>
      <w:pPr>
        <w:spacing w:after="0" w:line="114" w:lineRule="exact"/>
        <w:rPr>
          <w:rFonts w:ascii="Arial" w:cs="Arial" w:eastAsia="Arial" w:hAnsi="Arial"/>
          <w:sz w:val="13"/>
          <w:szCs w:val="13"/>
          <w:b w:val="1"/>
          <w:bCs w:val="1"/>
          <w:color w:val="auto"/>
        </w:rPr>
      </w:pPr>
    </w:p>
    <w:p>
      <w:pPr>
        <w:ind w:left="960" w:hanging="481"/>
        <w:spacing w:after="0"/>
        <w:tabs>
          <w:tab w:leader="none" w:pos="960" w:val="left"/>
        </w:tabs>
        <w:numPr>
          <w:ilvl w:val="0"/>
          <w:numId w:val="1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charterer fails to make charter payments due to distress, disagreements with us or otherwise;</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charterer seeks to renegotiate the terms of the charter agreements due to prevailing economic and market conditions or as a result of its continued poor performance;</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charterer exercises certain rights to terminate the charters;</w:t>
      </w:r>
    </w:p>
    <w:p>
      <w:pPr>
        <w:spacing w:after="0" w:line="169" w:lineRule="exact"/>
        <w:rPr>
          <w:rFonts w:ascii="Arial" w:cs="Arial" w:eastAsia="Arial" w:hAnsi="Arial"/>
          <w:sz w:val="13"/>
          <w:szCs w:val="13"/>
          <w:b w:val="1"/>
          <w:bCs w:val="1"/>
          <w:color w:val="auto"/>
        </w:rPr>
      </w:pPr>
    </w:p>
    <w:p>
      <w:pPr>
        <w:ind w:left="960" w:hanging="481"/>
        <w:spacing w:after="0" w:line="292" w:lineRule="auto"/>
        <w:tabs>
          <w:tab w:leader="none" w:pos="960" w:val="left"/>
        </w:tabs>
        <w:numPr>
          <w:ilvl w:val="0"/>
          <w:numId w:val="1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charterer terminates the charters because we fail to comply with the terms of the charters, the vessels are lost or damaged beyond repair, there are serious deficiencies in the vessels or prolonged periods of off-hire, or we default under the charters;</w:t>
      </w:r>
    </w:p>
    <w:p>
      <w:pPr>
        <w:spacing w:after="0" w:line="114" w:lineRule="exact"/>
        <w:rPr>
          <w:rFonts w:ascii="Arial" w:cs="Arial" w:eastAsia="Arial" w:hAnsi="Arial"/>
          <w:sz w:val="13"/>
          <w:szCs w:val="13"/>
          <w:b w:val="1"/>
          <w:bCs w:val="1"/>
          <w:color w:val="auto"/>
        </w:rPr>
      </w:pPr>
    </w:p>
    <w:p>
      <w:pPr>
        <w:ind w:left="960" w:hanging="481"/>
        <w:spacing w:after="0"/>
        <w:tabs>
          <w:tab w:leader="none" w:pos="960" w:val="left"/>
        </w:tabs>
        <w:numPr>
          <w:ilvl w:val="0"/>
          <w:numId w:val="1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 prolonged force majeure event affecting the charterer, including war or political unrest, prevents us from performing services for that charterer; or</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charterer terminates the charters because we fail to comply with the safety and regulatory criteria of the charterer or the rules and regulations of various maritime organizations and bodies.</w:t>
      </w:r>
    </w:p>
    <w:p>
      <w:pPr>
        <w:spacing w:after="0" w:line="329"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In the event we lose the benefit of the charters prior to their respective expiration date, we would have to re-charter the vessels at the then prevailing charter rates. If the charter market is depressed at such time, or when time charters for our vessels otherwise expire, we may be forced to re-charter our vessels at reduced or even unprofitable rates, or we may not be able to re-charter them at all, and our business, financial condition, results of operation, cash flows and ability to pay cash dividends and service or refinance our debt may be materially and adversely affected.</w:t>
      </w:r>
    </w:p>
    <w:p>
      <w:pPr>
        <w:spacing w:after="0" w:line="127"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24</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b w:val="1"/>
          <w:bCs w:val="1"/>
          <w:color w:val="auto"/>
        </w:rPr>
        <w:t>We currently derive all of our revenues from a limited number of charterers and the loss of any charterer or charter could result in a significant loss of revenues and cash flows.</w:t>
      </w:r>
    </w:p>
    <w:p>
      <w:pPr>
        <w:spacing w:after="0" w:line="172"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 xml:space="preserve">We have derived, and expect that we will continue to derive, all of our revenues and cash flows from a limited number of charterers. For the year ended December 31, 2025, our charterers who individually accounted for more than 10% of total revenues were BP Gas Marketing Limited (“BP”), Bonny Gas Transport Limited (“BGT”), Cheniere Marketing International LLP (“Cheniere”), Hartree Partners Power &amp; Gas Company (UK) Limited (“Hartree”), and Qatar Energy Trading LLC (“Qatar Energy Trading”), who accounted for 18%, 16%, 14%, 10% and 10% of our revenues, respectively. </w:t>
      </w:r>
      <w:r>
        <w:rPr>
          <w:rFonts w:ascii="Times New Roman" w:cs="Times New Roman" w:eastAsia="Times New Roman" w:hAnsi="Times New Roman"/>
          <w:sz w:val="10"/>
          <w:szCs w:val="10"/>
          <w:color w:val="auto"/>
        </w:rPr>
        <w:t>W</w:t>
      </w:r>
      <w:r>
        <w:rPr>
          <w:rFonts w:ascii="Times New Roman" w:cs="Times New Roman" w:eastAsia="Times New Roman" w:hAnsi="Times New Roman"/>
          <w:sz w:val="13"/>
          <w:szCs w:val="13"/>
          <w:color w:val="auto"/>
        </w:rPr>
        <w:t>e could lose a charterer, including charterers who individually account for more than 10% of our total revenues or the benefits of some or all of our charters, including in circumstances described above in “</w:t>
      </w:r>
      <w:r>
        <w:rPr>
          <w:rFonts w:ascii="Times New Roman" w:cs="Times New Roman" w:eastAsia="Times New Roman" w:hAnsi="Times New Roman"/>
          <w:sz w:val="13"/>
          <w:szCs w:val="13"/>
          <w:i w:val="1"/>
          <w:iCs w:val="1"/>
          <w:color w:val="auto"/>
        </w:rPr>
        <w:t>—Certain of our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vessels may be under time charters at rates that are at a substantial premium to the spot and period markets, and our charterers’ failure to perform under these time charters could result in a significant loss of expected future revenues and cash flows.” </w:t>
      </w:r>
      <w:r>
        <w:rPr>
          <w:rFonts w:ascii="Times New Roman" w:cs="Times New Roman" w:eastAsia="Times New Roman" w:hAnsi="Times New Roman"/>
          <w:sz w:val="13"/>
          <w:szCs w:val="13"/>
          <w:color w:val="auto"/>
        </w:rPr>
        <w:t>A loss of any of our charterers could have a material adverse effect on our business, financial condition, results of operations, cash flows and our ability to pay cash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dividends and service or refinance our debt.</w:t>
      </w:r>
    </w:p>
    <w:p>
      <w:pPr>
        <w:spacing w:after="0" w:line="13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3"/>
          <w:szCs w:val="13"/>
          <w:b w:val="1"/>
          <w:bCs w:val="1"/>
          <w:color w:val="auto"/>
        </w:rPr>
        <w:t>If our charterers do not fulfill their obligations to us, or if they are unable to honor their obligations, our business, financial condition, results of operations, cash flows and ability to pay cash dividends and service or refinance our debt may be adversely affected.</w:t>
      </w:r>
    </w:p>
    <w:p>
      <w:pPr>
        <w:spacing w:after="0" w:line="11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Many charterers are highly leveraged. A combination of factors, including, among other things, unavailability of credit, volatility in financial markets, overcapacity, competitive pressure, declines in world trade and depressed freight rates, have severely affected the financial condition of charterers in the past, and their ability to make charter payments, which resulted in a material increase in the credit and counterparty risks to which we were exposed and affected our ability to re-charter our vessels at competitive rates.</w:t>
      </w:r>
    </w:p>
    <w:p>
      <w:pPr>
        <w:spacing w:after="0" w:line="127"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If one of our charterers defaults on its time charter with us for any reason, we may be unable to redeploy the vessel previously employed by such charterer on similarly favorable or competitive terms or at all. Also, we will incur expenses to maintain and insure the vessel, but will not receive any revenue if a vessel remains idle before being re-chartered.</w:t>
      </w:r>
    </w:p>
    <w:p>
      <w:pPr>
        <w:spacing w:after="0" w:line="11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A number of our charterers are private companies and we may have limited access to their financial information, which may result in us having limited information on their financial strength and ability to meet their financial obligations.</w:t>
      </w:r>
    </w:p>
    <w:p>
      <w:pPr>
        <w:spacing w:after="0" w:line="11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The loss of our charterers or a decline in payments under our time charters could have a material adverse effect on our business, financial condition, results of operations, cash flows and our ability to pay cash dividends and service or refinance our debt.</w:t>
      </w:r>
    </w:p>
    <w:p>
      <w:pPr>
        <w:spacing w:after="0" w:line="114"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25</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26" w:name="page27"/>
    <w:bookmarkEnd w:id="26"/>
    <w:p>
      <w:pPr>
        <w:jc w:val="both"/>
        <w:spacing w:after="0" w:line="276" w:lineRule="auto"/>
        <w:rPr>
          <w:sz w:val="20"/>
          <w:szCs w:val="20"/>
          <w:color w:val="auto"/>
        </w:rPr>
      </w:pPr>
      <w:r>
        <w:rPr>
          <w:rFonts w:ascii="Times New Roman" w:cs="Times New Roman" w:eastAsia="Times New Roman" w:hAnsi="Times New Roman"/>
          <w:sz w:val="13"/>
          <w:szCs w:val="13"/>
          <w:b w:val="1"/>
          <w:bCs w:val="1"/>
          <w:color w:val="auto"/>
        </w:rPr>
        <w:t>We mostly depend on our Managers, which are privately held companies, for the commercial and technical management of our fleet. If, for any reason, any of our Managers is unable to provide us with the necessary level of services to support and expand our business or qualify for long-term charters, our business, financial condition, results of operations, cash flows and our ability to pay cash dividends and service or refinance our debt may be materially affected.</w:t>
      </w:r>
    </w:p>
    <w:p>
      <w:pPr>
        <w:spacing w:after="0" w:line="125" w:lineRule="exact"/>
        <w:rPr>
          <w:sz w:val="20"/>
          <w:szCs w:val="20"/>
          <w:color w:val="auto"/>
        </w:rPr>
      </w:pPr>
    </w:p>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Our Managers are privately held companies and Capital-Containers and Capital-Gas Management are not part of the group of companies controlled by Capital Maritime. Under the arrangements we have with our Managers, they provide us with significant commercial and technical management services, including the commercial and technical management for all our vessels, class certifications, vessel maintenance, crewing, procurement, insurance and shipyard supervision, as well as administrative, financial and other support services. Please read “Item 4. Information on the Company—B. Business Overview —Our Management Agreements.” Accordingly, our operational success and ability to execute our growth strategy depend significantly upon our Managers’ satisfactory performance of these services. Furthermore, our success in securing new charters and expanding our relationships with charterers depends largely on our Managers’ reputation, relationships in the shipping industry and ability to qualify for long-term business with major charterers.</w:t>
      </w:r>
    </w:p>
    <w:p>
      <w:pPr>
        <w:spacing w:after="0" w:line="135"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If our Managers’ reputation or industry relationships are harmed, justifiably or not, or if any of our Managers does not perform satisfactorily under our management agreements, our ability to renew existing charters upon their expiration, obtain new charters, successfully interact with shipyards during periods of shipyard construction constraints, obtain financing on commercially acceptable terms, access capital markets, or maintain satisfactory relationships with suppliers and other third parties may be materially affected.</w:t>
      </w:r>
    </w:p>
    <w:p>
      <w:pPr>
        <w:spacing w:after="0" w:line="1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If any of the above risks materializes, our business, financial condition, results of operations, cash flows and our ability to pay cash dividends and service or refinance our debt may be materially affected.</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b w:val="1"/>
          <w:bCs w:val="1"/>
          <w:color w:val="auto"/>
        </w:rPr>
        <w:t>The fees and expenses we pay to our Managers for services provided to us are substantial, fluctuate, cannot be easily predicted and may reduce our cash available to pay dividends on our common shares.</w:t>
      </w:r>
    </w:p>
    <w:p>
      <w:pPr>
        <w:spacing w:after="0" w:line="31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Fees charged by our Managers and compensation for expenses and liabilities incurred on our behalf, as well as the costs associated with future dry-dockings or intermediate surveys on our vessels, can be significant. Accordingly, these fees and expenses may adversely affect our business, financial condition, results of operations, cash flows and our ability to pay cash dividends and service or refinance our debt.</w:t>
      </w:r>
    </w:p>
    <w:p>
      <w:pPr>
        <w:spacing w:after="0" w:line="114"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In light of the floating fee structure of our management agreements, any increase in the costs and expenses associated with the provision of our Managers’ services, by reason, for example, of the condition and age of our vessels, costs of crews for our time chartered vessels and insurance, will be borne by us. Expenses incurred to manage our fleet depend upon a variety of factors, many of which are beyond our or our Managers’ control. Some of these costs, primarily relating to crewing, insurance and enhanced security measures, have increased in the past and may continue to increase. Rises in any of these costs, to the extent charged to us, will reduce our earnings, cash flows and the amount of cash available to pay dividends on our common shares.</w:t>
      </w:r>
    </w:p>
    <w:p>
      <w:pPr>
        <w:spacing w:after="0" w:line="131"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26</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b w:val="1"/>
          <w:bCs w:val="1"/>
          <w:color w:val="auto"/>
        </w:rPr>
        <w:t>Our vessels’ present and future employment could be adversely affected by an inability to clear charterers’ risk assessment process.</w:t>
      </w:r>
    </w:p>
    <w:p>
      <w:pPr>
        <w:spacing w:after="0" w:line="172"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Shipping has been, and will remain, heavily regulated. Concerns for the environment have led charterers to develop and implement a strict ongoing due diligence process when selecting their commercial partners. This vetting process has evolved into a sophisticated and comprehensive risk assessment of both the vessel operator and the vessel, including physical ship inspections, completion of vessel inspection questionnaires performed by accredited inspectors and the production of comprehensive risk assessment reports. In the case of term charter relationships, in addition to factors discussed under “</w:t>
      </w:r>
      <w:r>
        <w:rPr>
          <w:rFonts w:ascii="Times New Roman" w:cs="Times New Roman" w:eastAsia="Times New Roman" w:hAnsi="Times New Roman"/>
          <w:sz w:val="13"/>
          <w:szCs w:val="13"/>
          <w:i w:val="1"/>
          <w:iCs w:val="1"/>
          <w:color w:val="auto"/>
        </w:rPr>
        <w:t>—Our growth and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our ability to charter our vessels depend on, among other things, our ability to expand relationships with existing charterers and develop relationships with new charterers, for which we will face substantial competition” the following factors may be considered when awarding such contracts, including:</w:t>
      </w:r>
    </w:p>
    <w:p>
      <w:pPr>
        <w:spacing w:after="0" w:line="133" w:lineRule="exact"/>
        <w:rPr>
          <w:sz w:val="20"/>
          <w:szCs w:val="20"/>
          <w:color w:val="auto"/>
        </w:rPr>
      </w:pPr>
    </w:p>
    <w:p>
      <w:pPr>
        <w:ind w:left="960" w:hanging="481"/>
        <w:spacing w:after="0"/>
        <w:tabs>
          <w:tab w:leader="none" w:pos="960" w:val="left"/>
        </w:tabs>
        <w:numPr>
          <w:ilvl w:val="0"/>
          <w:numId w:val="2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office assessments and audits of the vessel operator;</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2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operator’s environmental, health and safety record;</w:t>
      </w:r>
    </w:p>
    <w:p>
      <w:pPr>
        <w:spacing w:after="0" w:line="179" w:lineRule="exact"/>
        <w:rPr>
          <w:rFonts w:ascii="Arial" w:cs="Arial" w:eastAsia="Arial" w:hAnsi="Arial"/>
          <w:sz w:val="13"/>
          <w:szCs w:val="13"/>
          <w:b w:val="1"/>
          <w:bCs w:val="1"/>
          <w:color w:val="auto"/>
        </w:rPr>
      </w:pPr>
    </w:p>
    <w:p>
      <w:pPr>
        <w:ind w:left="960" w:hanging="481"/>
        <w:spacing w:after="0"/>
        <w:tabs>
          <w:tab w:leader="none" w:pos="960" w:val="left"/>
        </w:tabs>
        <w:numPr>
          <w:ilvl w:val="0"/>
          <w:numId w:val="2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compliance with the standards of the IMO;</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2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compliance with heightened industry standards;</w:t>
      </w:r>
    </w:p>
    <w:p>
      <w:pPr>
        <w:spacing w:after="0" w:line="179" w:lineRule="exact"/>
        <w:rPr>
          <w:rFonts w:ascii="Arial" w:cs="Arial" w:eastAsia="Arial" w:hAnsi="Arial"/>
          <w:sz w:val="13"/>
          <w:szCs w:val="13"/>
          <w:b w:val="1"/>
          <w:bCs w:val="1"/>
          <w:color w:val="auto"/>
        </w:rPr>
      </w:pPr>
    </w:p>
    <w:p>
      <w:pPr>
        <w:ind w:left="960" w:hanging="481"/>
        <w:spacing w:after="0"/>
        <w:tabs>
          <w:tab w:leader="none" w:pos="960" w:val="left"/>
        </w:tabs>
        <w:numPr>
          <w:ilvl w:val="0"/>
          <w:numId w:val="2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shipping industry relationships, reputation for customer service, technical and operating expertise; and</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2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compliance with the charterer’s codes of conduct, policies and guidelines, including transparency, anti-bribery and ethical conduct requirements and relationships with third parties.</w:t>
      </w:r>
    </w:p>
    <w:p>
      <w:pPr>
        <w:spacing w:after="0" w:line="179"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Should our Managers not continue to successfully clear major charterers’ risk assessment processes on an ongoing basis, our vessels’ present and future employment, as well as our relationship with our existing charterers and our ability to obtain new charterers, whether medium- or long-term, could be adversely affected. Such a situation may lead to major charterers’ terminating existing charters and refusing to use our vessels in the future, which would adversely affect our business, financial condition, results of operations, cash flows and ability to pay cash dividends and service or refinance our debt.</w:t>
      </w:r>
    </w:p>
    <w:p>
      <w:pPr>
        <w:spacing w:after="0" w:line="12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3"/>
          <w:szCs w:val="13"/>
          <w:b w:val="1"/>
          <w:bCs w:val="1"/>
          <w:color w:val="auto"/>
        </w:rPr>
        <w:t>If our vessels suffer damage due to the inherent operational risks of the shipping industry, we may experience unexpected dry-docking costs and delays or total loss of our vessels, which may adversely affect our business and financial condition.</w:t>
      </w:r>
    </w:p>
    <w:p>
      <w:pPr>
        <w:spacing w:after="0" w:line="112"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Our vessels and their cargoes are at risk of being damaged or lost because of events such as marine disasters, bad weather (including severe weather events resulting from climate change), business interruptions caused by mechanical failures, grounding, fire, explosions and collisions, human error, war, terrorism, piracy and other circumstances or events. LNG/C vessels and the Gas Fleet are inherently sophisticated vessels with complex equipment including dual fuel engines and generators, specialized tanks for maintaining the desired cargo temperature, reliquefication plants and other systems, which might need extensive repairs if they are damaged, underperform or fail. This may result in increased expenditures, off hire days and may affect our ability to perform under the conditions of our charter parties, which may in turn entitle our charterers to seek damages from us.</w:t>
      </w:r>
    </w:p>
    <w:p>
      <w:pPr>
        <w:spacing w:after="0" w:line="133"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27</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28" w:name="page29"/>
    <w:bookmarkEnd w:id="28"/>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If our vessels suffer damage, they may need to be repaired at a dry-docking facility. The costs of dry-dock repairs are unpredictable and may be substantial. We may have to pay dry-docking costs that our insurance does not cover in full. The loss of earnings while these vessels are being repaired and repositioned, as well as the actual cost of these repairs, may adversely affect our business and financial condition. In addition, space at dry-docking facilities is sometimes limited and not all dry-docking facilities are conveniently located. We may be unable to find space at a suitable dry-docking facility or our vessels may be forced to travel to a dry-docking facility that is not conveniently located to such vessels’ positions. The loss of earnings while these vessels are forced to wait for space or to travel to more distant dry-docking facilities may adversely affect our business and financial condition. Where the unexpected off-hire period exceeds the maximum allowed under the respective charter party, the charterer may elect to terminate the charter party. Furthermore, the total loss of any of our vessels could harm our reputation as a safe and reliable vessel owner and operator. If we are unable to adequately maintain or safeguard our vessels, we may be unable to prevent any such damage, costs or loss, which could negatively impact our business, financial condition, results of operations, cash flows and ability to pay cash dividends and service or refinance our debt.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insurance may be insufficient to cover losses that may occur to our property or result from our commercial operations.</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The operation of ocean-going vessels in international trade is inherently risky. Not all risks can be adequately insured against, and any particular claim upon our insurance may not be paid for any number of reasons. Claims covered by insurance are subject to deductibles and since it is possible that a large number of claims may arise, the aggregate amount of these deductibles could be material.</w:t>
      </w:r>
    </w:p>
    <w:p>
      <w:pPr>
        <w:spacing w:after="0" w:line="11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A catastrophic marine disaster could exceed our insurance coverage. In addition, our insurance may be voidable by the insurers as a result of certain of our actions, such as our ships failing to maintain certification with applicable maritime self-regulatory organizations.</w:t>
      </w:r>
    </w:p>
    <w:p>
      <w:pPr>
        <w:spacing w:after="0" w:line="114"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We may be unable to procure adequate insurance coverage at commercially reasonable rates or the insurance that may be available to us may be significantly more expensive than our existing coverage. For example, more stringent environmental regulations have led in the past to increased costs for, and may result in the lack of availability of, insurance against risks of environmental damage or pollution. Changes in the insurance markets attributable to terrorist attacks or a high-profile marine casualty may also make certain types of insurance more difficult for us to obtain. See “—</w:t>
      </w:r>
      <w:r>
        <w:rPr>
          <w:rFonts w:ascii="Times New Roman" w:cs="Times New Roman" w:eastAsia="Times New Roman" w:hAnsi="Times New Roman"/>
          <w:sz w:val="13"/>
          <w:szCs w:val="13"/>
          <w:i w:val="1"/>
          <w:iCs w:val="1"/>
          <w:color w:val="auto"/>
        </w:rPr>
        <w:t>Acts of piracy or other attacks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by paramilitary groups and/or militias on ocean-going vessels have continued and could adversely affect our business.</w:t>
      </w:r>
      <w:r>
        <w:rPr>
          <w:rFonts w:ascii="Times New Roman" w:cs="Times New Roman" w:eastAsia="Times New Roman" w:hAnsi="Times New Roman"/>
          <w:sz w:val="13"/>
          <w:szCs w:val="13"/>
          <w:color w:val="auto"/>
        </w:rPr>
        <w:t>” Any uninsured or underinsured loss could harm our business, financial condition, results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operations, cash flows, and ability to pay cash dividends and service or refinance our debt.</w:t>
      </w:r>
    </w:p>
    <w:p>
      <w:pPr>
        <w:spacing w:after="0" w:line="13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3"/>
          <w:szCs w:val="13"/>
          <w:b w:val="1"/>
          <w:bCs w:val="1"/>
          <w:color w:val="auto"/>
        </w:rPr>
        <w:t>We may be subject to funding calls by our protection and indemnity associations, and our associations may not have enough resources to cover claims made against them, resulting in potential unbudgeted supplementary liability to fund claims made upon them and unbudgeted cash-calls made upon us by the associations.</w:t>
      </w:r>
    </w:p>
    <w:p>
      <w:pPr>
        <w:spacing w:after="0" w:line="112"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Cover for third-party liability incurred as a consequence of commercial operations is provided through membership in Protection &amp; Indemnity (“P&amp;I”) Associations. P&amp;I Associations are mutual insurance associations members of which must contribute proportionately to cover losses sustained by all the association’s members who remain subject to calls for additional funds if the aggregate premiums are insufficient to cover claims submitted to the association. Claims submitted to the associations include those incurred by its members but also claims submitted by other P&amp;I Associations under claims pooling agreements. The P&amp;I Associations to which we belong may not remain viable, and we may become subject to additional funding calls which could adversely affect us.</w:t>
      </w:r>
    </w:p>
    <w:p>
      <w:pPr>
        <w:spacing w:after="0" w:line="131"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28</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29" w:name="page30"/>
    <w:bookmarkEnd w:id="29"/>
    <w:p>
      <w:pPr>
        <w:jc w:val="both"/>
        <w:spacing w:after="0" w:line="296" w:lineRule="auto"/>
        <w:rPr>
          <w:sz w:val="20"/>
          <w:szCs w:val="20"/>
          <w:color w:val="auto"/>
        </w:rPr>
      </w:pPr>
      <w:r>
        <w:rPr>
          <w:rFonts w:ascii="Times New Roman" w:cs="Times New Roman" w:eastAsia="Times New Roman" w:hAnsi="Times New Roman"/>
          <w:sz w:val="13"/>
          <w:szCs w:val="13"/>
          <w:b w:val="1"/>
          <w:bCs w:val="1"/>
          <w:color w:val="auto"/>
        </w:rPr>
        <w:t>The crew employment agreements that manning agents enter into on behalf of our Managers may not prevent labor interruptions, and the failure to renegotiate these agreements or to successfully attract and retain qualified personnel may disrupt our operations and adversely affect our cash flows.</w:t>
      </w:r>
    </w:p>
    <w:p>
      <w:pPr>
        <w:spacing w:after="0" w:line="112"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Our success depends in part on our ability to attract and retain qualified personnel. The collective bargaining agreement between certain of our Managers and the Pan-Hellenic Seamen’s Federation, effective August 1, 2025, expires on July 31, 2026. This collective bargaining agreement may not prevent labor interruptions and is subject to renegotiation in the future. Although we believe that our relations with our employees are satisfactory, no assurance can be given that we will be able to successfully extend or renegotiate our collective bargaining agreement when it expires. If we fail to extend or renegotiate our collective bargaining agreement, if disputes with our union arise, or if our unionized workers engage in a strike or other work stoppage or interruption, we could experience a significant disruption of our operations, which could have a material adverse effect on our business, financial condition, results of operations, cash flows and ability to pay cash dividends and service or refinance our debt.</w:t>
      </w:r>
    </w:p>
    <w:p>
      <w:pPr>
        <w:spacing w:after="0" w:line="133"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In crewing our vessels, we employ certain employees with specialized training who can perform physically demanding work. Competition to attract and retain qualified crew members is intense. If we are not able to attract and retain qualified personnel, it could have a material adverse effect on our business, financial condition, results of operations, cash flows and ability to pay cash dividends and service or refinance our debt.</w:t>
      </w:r>
    </w:p>
    <w:p>
      <w:pPr>
        <w:spacing w:after="0" w:line="12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3"/>
          <w:szCs w:val="13"/>
          <w:b w:val="1"/>
          <w:bCs w:val="1"/>
          <w:color w:val="auto"/>
        </w:rPr>
        <w:t>As our fleet ages, the risks associated with older vessels could adversely affect our ability to obtain profitable charters, comply with debt covenants or raise financing. In addition, if we purchase and operate secondhandvessels, we may be exposed to increased operating costs and capital expenditure associated with new regulations, which could adversely affect our results of operations.</w:t>
      </w:r>
    </w:p>
    <w:p>
      <w:pPr>
        <w:spacing w:after="0" w:line="112"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Our fleet of 13 on-the-water vessels (excluding the M/V Buenaventura Express sold in January 2026) had a DWT weighted average age of approximately 3.2 years as of December 31, 2025. See “Item 4. Information on the Company—B. Business Overview—Our Fleet”. In general, the costs of maintaining a vessel in good operating condition increase with the age of the vessel. Older vessels are typically less fuel efficient than more recently constructed vessels due to improvements in engine technology. In addition, cargo insurance rates increase with the age of a vessel, making older vessels less desirable to charterers. Older vessels might also require higher capital expenditure to comply with regulations that came into force after their construction and their values might depreciate faster than more modern vessels. As a result, an aging fleet might affect our ability to remain in compliance with debt covenants and/or raise financing.</w:t>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If we purchase secondhand vessels, we will not have the same knowledge about their condition as the knowledge we have about the condition of the vessels that were built for and operated solely by 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Generally, we will not receive the benefit of warranties from the builder for any secondhand vessel that we may acquire.</w:t>
      </w:r>
    </w:p>
    <w:p>
      <w:pPr>
        <w:spacing w:after="0" w:line="157"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29</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b w:val="1"/>
          <w:bCs w:val="1"/>
          <w:color w:val="auto"/>
        </w:rPr>
        <w:t>Arrests of our vessels by maritime claimants could cause a significant loss of earnings for the related off-hire period.</w:t>
      </w:r>
    </w:p>
    <w:p>
      <w:pPr>
        <w:spacing w:after="0" w:line="172"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Crew members, suppliers of goods and services to a vessel, shippers of cargo and other parties may be entitled to a maritime lien against a vessel for unsatisfied debts, claims or damages. In certain cases, maritime claimants may be entitled to a maritime lien against a vessel for unsatisfied debts, claims or damages of its manager. In many jurisdictions, a maritime lienholder may enforce its lien by “arresting” or “attaching” a vessel through foreclosure proceedings. In addition, in jurisdictions where the “sister ship” theory of liability applies, a claimant may arrest the vessel that is subject to the claimant’s maritime lien and any “associated” vessel, which is any vessel owned or controlled by the same owner. In countries with “sister ship” liability laws, claims might be asserted against us or any of our vessels for liabilities of other vessels that we own. The arrest or attachment of one or more of our vessels could result in significant costs of discharging the maritime lien, loss of earnings for the related off-hire period and other expenses and negatively affect our reputation, which could negatively affect the market for our common shares and adversely affect our business, financial condition, results of operations, cash flows and ability to pay cash dividends and service or refinance our debt.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Governments could requisition our vessels during a period of war or emergency, resulting in loss of earnings.</w:t>
      </w:r>
    </w:p>
    <w:p>
      <w:pPr>
        <w:spacing w:after="0" w:line="172"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The government of a vessel’s registry could requisition for title or seize our vessels. Requisition for title occurs when a government takes control of a vessel and becomes the owner. A government could also requisition our vessels for hire. Requisition for hire occurs when a government takes control of a vessel and effectively becomes the charterer at dictated charter rates. Generally, requisitions occur during a period of war or emergency. Government requisition of one or more of our vessels could have a material adverse effect on our business, results of operations, cash flows, financial condition and ability to pay cash dividends and service or refinance our debt.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Increases in fuel prices could adversely affect our profits.</w:t>
      </w:r>
    </w:p>
    <w:p>
      <w:pPr>
        <w:spacing w:after="0" w:line="172"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When our vessels are trading on period charters, our charterers are responsible for the cost of fuel in the form of bunkers. However if we trade our vessels in the spot market or they are off-hire or during the vessels’ dry-docking, we are responsible for the cost of fuel consumed, which can be a significant vessel expense. Spot charter arrangements generally provide that the vessel owner, or pool operator where relevant, bear the cost of fuel. Because we do not, and do not intend to, hedge our fuel costs, an increase in the price of fuel beyond our expectations may adversely affect our profitability, cash flows and ability to pay cash dividends and service or refinance our debt. The price and supply of fuel is unpredictable and fluctuates as a result of events outside our control, including geo-political developments (such as the ongoing military conflicts in the Middle East and between Russia and Ukraine), supply and demand for oil and gas, actions by members of the Organization of the Petroleum Exporting Countries (also known as OPEC) and other oil and gas producers, war and unrest in oil producing countries and regions, regional production patterns and environmental concerns and regulations. Changes in the actual price of fuel at the time the charter is to be performed could result in the charter being performed at a significantly greater cost than originally anticipated and may result in losses or diminished profits.</w:t>
      </w:r>
    </w:p>
    <w:p>
      <w:pPr>
        <w:spacing w:after="0" w:line="135"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30</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b w:val="1"/>
          <w:bCs w:val="1"/>
          <w:color w:val="auto"/>
        </w:rPr>
        <w:t>Increased competition in technology and innovation could reduce our charter hire income and the value of our vessels.</w:t>
      </w:r>
    </w:p>
    <w:p>
      <w:pPr>
        <w:spacing w:after="0" w:line="172"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The charter rates and the value and operational life of a vessel are determined by a number of factors, including the vessel’s efficiency, operational flexibility and physical life. Determining a vessel’s efficiency includes considering its speed and fuel economy, while flexibility considerations include the ability to enter harbors, utilize related docking facilities and pass through canals and straits. Specifically for LNG/C vessels, technological developments in containment systems and reliquefaction technology could affect the value of the vessels as well as their commercial life, as is now demonstrated in the market with older generation vessels trading at a significant discount as compared to modern vessels. A vessel’s physical life is related to the original design and construction, maintenance and the impact of the stress of its operations. If new ship designs currently promoted by shipyards as being more fuel efficient perform as promoted, or if new vessels are built that are more efficient, or flexible, have increased capacity, or have longer physical lives than our current vessels, competition from these more technologically advanced vessels could adversely affect our ability to charter our vessels, the amount of charter-hire payments that we receive for our vessels once their current charters expire and the resale value of our vessels. This could adversely affect our ability to service our debt or pay cash dividends.</w:t>
      </w:r>
    </w:p>
    <w:p>
      <w:pPr>
        <w:spacing w:after="0" w:line="39" w:lineRule="exact"/>
        <w:rPr>
          <w:sz w:val="20"/>
          <w:szCs w:val="20"/>
          <w:color w:val="auto"/>
        </w:rPr>
      </w:pPr>
    </w:p>
    <w:p>
      <w:pPr>
        <w:jc w:val="both"/>
        <w:ind w:firstLine="479"/>
        <w:spacing w:after="0" w:line="195" w:lineRule="auto"/>
        <w:rPr>
          <w:sz w:val="20"/>
          <w:szCs w:val="20"/>
          <w:color w:val="auto"/>
        </w:rPr>
      </w:pPr>
      <w:r>
        <w:rPr>
          <w:rFonts w:ascii="Times New Roman" w:cs="Times New Roman" w:eastAsia="Times New Roman" w:hAnsi="Times New Roman"/>
          <w:sz w:val="13"/>
          <w:szCs w:val="13"/>
          <w:color w:val="auto"/>
        </w:rPr>
        <w:t>In addition, our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vessels are the first of their type and size to be produced and include technologies and equipment that are untested on this scale, including cargo tanks and other cargo system equipment. Moreover, other vessel designs for the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industry have offered medium and higher pressure solutions for the transportation of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compared to our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carriers, which are expected to operate using low pressure technology. There are no assurances that the low pressure technology to be included in our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vessels will work as expected and/or that it will prevail as a transportation standard in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shipping. If the technology and equipment included in our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vessels does not perform as expected or is not adopted by the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shipping industry, this could adversely affect our ability to charter our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vessels and the resale value of our vessels, which could adversely affect our ability to service our debt or pay cash dividends.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We rely on our ability to obtain required financing and access the financial markets to fund our replacement capital expenditures.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Replacement capital expenditures are made in order to maintain our asset base and the income generating capacity of our fleet. We have in the past incurred substantial replacement capital expenditures.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Replacement capital expenditures may vary over time as a result of a range of factors, including changes in:</w:t>
      </w:r>
    </w:p>
    <w:p>
      <w:pPr>
        <w:spacing w:after="0" w:line="157" w:lineRule="exact"/>
        <w:rPr>
          <w:sz w:val="20"/>
          <w:szCs w:val="20"/>
          <w:color w:val="auto"/>
        </w:rPr>
      </w:pPr>
    </w:p>
    <w:p>
      <w:pPr>
        <w:ind w:left="960" w:hanging="481"/>
        <w:spacing w:after="0"/>
        <w:tabs>
          <w:tab w:leader="none" w:pos="960" w:val="left"/>
        </w:tabs>
        <w:numPr>
          <w:ilvl w:val="0"/>
          <w:numId w:val="2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value of the vessels in our fleet;</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2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cost of our labor and materials;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2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cost and replacement life of suitable replacement vessels;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2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customer/market requirements;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2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age of the vessels in our fleet;</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2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charter rates in the market; and</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2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governmental regulations, industry and maritime self-regulatory organization standards relating to safety, security or the environment.</w:t>
      </w:r>
    </w:p>
    <w:p>
      <w:pPr>
        <w:spacing w:after="0" w:line="169"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31</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32" w:name="page33"/>
    <w:bookmarkEnd w:id="32"/>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We account for maintenance capital expenditures required to maintain the operating capacity of our vessels, including any amortization of dry-docking costs associated with scheduled dry-dockings, as part of our operating costs, which are reflected in our operating income. As a result of this practice, we are reliant on our ability to obtain required financing and access the financial markets to fund our replacement capital expenditures from time to time. If this practice continues and external funding is not available to us for any reason, including as a result of efforts by central banks to address inflation, our ability to acquire new vessels or replace a vessel in our fleet to maintain our asset base and our income generating capacity may be significantly impaired, which would negatively affect our business, financial condition, results of operations, cash flows and ability to pay cash dividends and service or refinance our debt.</w:t>
      </w:r>
    </w:p>
    <w:p>
      <w:pPr>
        <w:spacing w:after="0" w:line="13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3"/>
          <w:szCs w:val="13"/>
          <w:b w:val="1"/>
          <w:bCs w:val="1"/>
          <w:color w:val="auto"/>
        </w:rPr>
        <w:t>If we finance the purchase of any additional vessels or businesses we acquire through cash from operations, by increasing our indebtedness or by issuing debt or equity securities, our ability to make or increase our cash dividends may be diminished, our financial leverage could increase or our shareholders could be diluted. In addition, in connection with our Under Construction Fleet, we will be required to make significant installment payments to the shipyards for such vessels prior to their delivery and generation of any revenue.</w:t>
      </w:r>
    </w:p>
    <w:p>
      <w:pPr>
        <w:spacing w:after="0" w:line="125"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The actual cost of a new vessel varies significantly depending on the market price charged by shipyards, the size and specifications of the vessel, whether a charter is attached to the vessel and the terms of such charter, governmental regulations and maritime self-regulatory organization standards. The total cost of a vessel is further increased by financing, construction supervision, vessel start-up and other costs.</w:t>
      </w:r>
    </w:p>
    <w:p>
      <w:pPr>
        <w:spacing w:after="0" w:line="114"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If we enter into contracts for newbuilds directly with shipyards, we generally will be required to make installment payments prior to their delivery. We typically must pay between 5% and 10% of the purchase price of a vessel upon signing the purchase contract, even though delivery of the completed vessel will not occur until much later (approximately 18-36 months later for current orders), which could reduce cash available for dividends to shareholders. In connection with our Under Construction Fleet, as of the date of this Annual Report we expect to be required to pay an additional amount of $2,301.2 million to shipyards in pre-delivery and delivery installments.</w:t>
      </w:r>
    </w:p>
    <w:p>
      <w:pPr>
        <w:spacing w:after="0" w:line="131"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To fund the acquisition of a vessel or a business or other related capital expenditures, we will be required to use cash from operations or incur borrowings or raise capital through the sale of debt or additional equity securities. For example, we issued 35,087,719 common units to finance a portion of the purchase price for the Umbrella Agreement Vessels. Even if we are successful in obtaining necessary funds, the terms of such financings could limit our ability to pay cash dividends to shareholders. Incurring additional debt may significantly increase our interest expense and financial leverage, and issuing additional equity securities may result in significant dilution to shareholders and would increase the aggregate amount of cash required to fund our quarterly dividends to shareholders, which could have a material adverse effect on our ability to increase or pay cash dividends. See also “</w:t>
      </w:r>
      <w:r>
        <w:rPr>
          <w:rFonts w:ascii="Times New Roman" w:cs="Times New Roman" w:eastAsia="Times New Roman" w:hAnsi="Times New Roman"/>
          <w:sz w:val="13"/>
          <w:szCs w:val="13"/>
          <w:i w:val="1"/>
          <w:iCs w:val="1"/>
          <w:color w:val="auto"/>
        </w:rPr>
        <w:t>—Risks Related to Financing Activities.</w:t>
      </w:r>
      <w:r>
        <w:rPr>
          <w:rFonts w:ascii="Times New Roman" w:cs="Times New Roman" w:eastAsia="Times New Roman" w:hAnsi="Times New Roman"/>
          <w:sz w:val="13"/>
          <w:szCs w:val="13"/>
          <w:color w:val="auto"/>
        </w:rPr>
        <w:t>”</w:t>
      </w:r>
    </w:p>
    <w:p>
      <w:pPr>
        <w:spacing w:after="0" w:line="13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3"/>
          <w:szCs w:val="13"/>
          <w:b w:val="1"/>
          <w:bCs w:val="1"/>
          <w:color w:val="auto"/>
        </w:rPr>
        <w:t>Failure of the scrubber, ballast water treatment equipment or other newly installed equipment and novel technologies to operate effectively could have a material adverse impact on our business, financial condition, results of operations, cash flows and ability to pay cash dividends and service or refinance our debt.</w:t>
      </w:r>
    </w:p>
    <w:p>
      <w:pPr>
        <w:spacing w:after="0" w:line="11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As of the date of this Annual Report, our container vessel is equipped with scrubbers and all of our vessels are equipped with ballast water treatment system (“BWTS”). Failure of the scrubber, BWTS equipment or other newly installed equipment and novel technologies to operate effectively after installation might affect our ability to comply with regulatory requirements and/or our charter party agreements, which could have a material adverse impact on our business, financial condition, results of operations, cash flows and ability to pay cash dividends and service or refinance our debt.</w:t>
      </w:r>
    </w:p>
    <w:p>
      <w:pPr>
        <w:spacing w:after="0" w:line="127"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32</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3"/>
          <w:szCs w:val="13"/>
          <w:b w:val="1"/>
          <w:bCs w:val="1"/>
          <w:color w:val="auto"/>
        </w:rPr>
        <w:t>RISKS RELATED TO FINANCING ACTIVITIES</w:t>
      </w:r>
    </w:p>
    <w:p>
      <w:pPr>
        <w:spacing w:after="0" w:line="17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3"/>
          <w:szCs w:val="13"/>
          <w:b w:val="1"/>
          <w:bCs w:val="1"/>
          <w:color w:val="auto"/>
        </w:rPr>
        <w:t>We may be harmed by any limitation in the availability of external funding. If we are unable to obtain required financing or access the capital markets, or our interest costs rise, we may be unable to grow or maintain our asset base, pursue other potential growth opportunities, pay cash dividends or service or refinance our debt.</w:t>
      </w:r>
    </w:p>
    <w:p>
      <w:pPr>
        <w:spacing w:after="0" w:line="112" w:lineRule="exact"/>
        <w:rPr>
          <w:sz w:val="20"/>
          <w:szCs w:val="20"/>
          <w:color w:val="auto"/>
        </w:rPr>
      </w:pPr>
    </w:p>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We are reliant on our ability to obtain required financing and access the financial markets to operate and grow our business. Our ability to obtain financing or access capital markets to issue debt or equity securities may be limited by (i) our financial condition at the time of any such financing or issuance, (ii) adverse market conditions affecting the shipping industry, including weaker demand for, or increased supply of, LNG/C, LPG carrier and container vessels, whether as a result of general economic conditions or the financial condition of charterers and operators of vessels, (iii) weaknesses in the financial markets,</w:t>
      </w:r>
    </w:p>
    <w:p>
      <w:pPr>
        <w:spacing w:after="0" w:line="272" w:lineRule="auto"/>
        <w:tabs>
          <w:tab w:leader="none" w:pos="238"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restrictions imposed by our credit facilities, such as collateral maintenance requirements, which could limit our ability to incur additional secured financing and (v) other contingencies and uncertainties, which may be beyond our control. If we are unable to obtain additional financing or issue further equity or debt securities, our ability to fund current and future obligations may be impaired.</w:t>
      </w:r>
    </w:p>
    <w:p>
      <w:pPr>
        <w:spacing w:after="0" w:line="127"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In addition, restrictions in the availability of credit supply, as well as higher interest rates resulting from efforts by central banks to address increased inflation, may result in higher interest costs, which would reduce our available cash for dividends. Any failure to obtain funds for necessary future capital expenditures, to grow our asset base or, in time, to refinance our existing indebtedness on terms that are commercially acceptable could have a material adverse impact on our business, financial condition, results of operations, cash flows and our ability to pay cash dividends and service or refinance our debt, and could cause the market price of our common shares to decline.</w:t>
      </w:r>
    </w:p>
    <w:p>
      <w:pPr>
        <w:spacing w:after="0" w:line="131"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In 2019, a number of leading lenders to the shipping industry and other industry participants announced a global framework, referred to as the “Poseidon Principles”, by which financial institutions can assess the climate alignment of their ship finance portfolios, and additional lenders have subsequently announced their intention to adhere to such principles. In addition, the EU has introduced a set of criteria for economic activities which should be framed as “green”, called the EU Taxonomy. Based on the current version of the EU Taxonomy, companies that own assets shipping fossil fuels, including LNG/C vessels, are considered as not aligned with the EU Taxonomy. If our operations are considered as not aligned with the EU Taxonomy, it could result in an increase in the cost of capital and/or gradually reduced access to financing as a result of financial institutions’ compliance with EU Taxonomy. Accordingly, if the vessels in our fleet are deemed not to satisfy the emissions and other sustainability standards contemplated by the Poseidon Principles, the EU Taxonomy or other environmental, social and governance (ESG) standards required by lenders or investors, the availability and cost of bank or other financing for such vessels, or our business as a whole, may be adversely affected and as a result, our ability to obtain financing to fund capital expenditures, acquire new vessels or refinance our existing indebtedness might be limited.</w:t>
      </w:r>
    </w:p>
    <w:p>
      <w:pPr>
        <w:spacing w:after="0" w:line="13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3"/>
          <w:szCs w:val="13"/>
          <w:b w:val="1"/>
          <w:bCs w:val="1"/>
          <w:color w:val="auto"/>
        </w:rPr>
        <w:t>We have incurred significant indebtedness, which could adversely affect our ability to finance our operations, refinance our existing indebtedness, pursue desirable business opportunities, successfully run our business or pay cash dividends.</w:t>
      </w:r>
    </w:p>
    <w:p>
      <w:pPr>
        <w:spacing w:after="0" w:line="11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As of December 31, 2025, our total debt from continuous operations was $2,369.9 million. Please also refer to “Item 5. Operating and Financial Review and Prospects—B. Liquidity and Capital Resources—Borrowings (Financing Arrangements).”</w:t>
      </w:r>
    </w:p>
    <w:p>
      <w:pPr>
        <w:spacing w:after="0" w:line="114"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33</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34" w:name="page35"/>
    <w:bookmarkEnd w:id="34"/>
    <w:p>
      <w:pPr>
        <w:ind w:left="480"/>
        <w:spacing w:after="0"/>
        <w:rPr>
          <w:sz w:val="20"/>
          <w:szCs w:val="20"/>
          <w:color w:val="auto"/>
        </w:rPr>
      </w:pPr>
      <w:r>
        <w:rPr>
          <w:rFonts w:ascii="Times New Roman" w:cs="Times New Roman" w:eastAsia="Times New Roman" w:hAnsi="Times New Roman"/>
          <w:sz w:val="13"/>
          <w:szCs w:val="13"/>
          <w:color w:val="auto"/>
        </w:rPr>
        <w:t>Our leverage and amounts required to service our debt and leasing obligations could have a significant impact on our operations, including the following:</w:t>
      </w:r>
    </w:p>
    <w:p>
      <w:pPr>
        <w:spacing w:after="0" w:line="170" w:lineRule="exact"/>
        <w:rPr>
          <w:sz w:val="20"/>
          <w:szCs w:val="20"/>
          <w:color w:val="auto"/>
        </w:rPr>
      </w:pPr>
    </w:p>
    <w:p>
      <w:pPr>
        <w:ind w:left="960" w:hanging="481"/>
        <w:spacing w:after="0" w:line="292" w:lineRule="auto"/>
        <w:tabs>
          <w:tab w:leader="none" w:pos="960" w:val="left"/>
        </w:tabs>
        <w:numPr>
          <w:ilvl w:val="0"/>
          <w:numId w:val="2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principal amortization under our financing arrangements may restrict our ability to pay cash dividends to our shareholders, to manage ongoing business activities and to pursue new acquisitions, investments or capital expenditures;</w:t>
      </w:r>
    </w:p>
    <w:p>
      <w:pPr>
        <w:spacing w:after="0" w:line="114" w:lineRule="exact"/>
        <w:rPr>
          <w:rFonts w:ascii="Arial" w:cs="Arial" w:eastAsia="Arial" w:hAnsi="Arial"/>
          <w:sz w:val="13"/>
          <w:szCs w:val="13"/>
          <w:b w:val="1"/>
          <w:bCs w:val="1"/>
          <w:color w:val="auto"/>
        </w:rPr>
      </w:pPr>
    </w:p>
    <w:p>
      <w:pPr>
        <w:ind w:left="960" w:hanging="481"/>
        <w:spacing w:after="0" w:line="292" w:lineRule="auto"/>
        <w:tabs>
          <w:tab w:leader="none" w:pos="960" w:val="left"/>
        </w:tabs>
        <w:numPr>
          <w:ilvl w:val="0"/>
          <w:numId w:val="2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our indebtedness will have the general effect of reducing our flexibility to react to changing business and economic conditions and, therefore, may pose substantial risks to our business and our shareholders;</w:t>
      </w:r>
    </w:p>
    <w:p>
      <w:pPr>
        <w:spacing w:after="0" w:line="114" w:lineRule="exact"/>
        <w:rPr>
          <w:rFonts w:ascii="Arial" w:cs="Arial" w:eastAsia="Arial" w:hAnsi="Arial"/>
          <w:sz w:val="13"/>
          <w:szCs w:val="13"/>
          <w:b w:val="1"/>
          <w:bCs w:val="1"/>
          <w:color w:val="auto"/>
        </w:rPr>
      </w:pPr>
    </w:p>
    <w:p>
      <w:pPr>
        <w:ind w:left="960" w:hanging="481"/>
        <w:spacing w:after="0"/>
        <w:tabs>
          <w:tab w:leader="none" w:pos="960" w:val="left"/>
        </w:tabs>
        <w:numPr>
          <w:ilvl w:val="0"/>
          <w:numId w:val="2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in the event that we are liquidated, our creditors and creditors of our subsidiaries will be entitled to payment in full prior to any dividends to our shareholders; and</w:t>
      </w:r>
    </w:p>
    <w:p>
      <w:pPr>
        <w:spacing w:after="0" w:line="169" w:lineRule="exact"/>
        <w:rPr>
          <w:rFonts w:ascii="Arial" w:cs="Arial" w:eastAsia="Arial" w:hAnsi="Arial"/>
          <w:sz w:val="13"/>
          <w:szCs w:val="13"/>
          <w:b w:val="1"/>
          <w:bCs w:val="1"/>
          <w:color w:val="auto"/>
        </w:rPr>
      </w:pPr>
    </w:p>
    <w:p>
      <w:pPr>
        <w:ind w:left="960" w:hanging="481"/>
        <w:spacing w:after="0" w:line="292" w:lineRule="auto"/>
        <w:tabs>
          <w:tab w:leader="none" w:pos="960" w:val="left"/>
        </w:tabs>
        <w:numPr>
          <w:ilvl w:val="0"/>
          <w:numId w:val="2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our ability to secure additional financing, or to refinance our existing financing arrangements, may be substantially restricted by the existing level of our indebtedness and the restrictions contained in them.</w:t>
      </w:r>
    </w:p>
    <w:p>
      <w:pPr>
        <w:spacing w:after="0" w:line="115"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While our leverage is significant, if future cash flows are insufficient to fund capital expenditures and other expenses or investments, we may need to incur further indebtedness. See “— Risks Related to Our Business and Operations—</w:t>
      </w:r>
      <w:r>
        <w:rPr>
          <w:rFonts w:ascii="Times New Roman" w:cs="Times New Roman" w:eastAsia="Times New Roman" w:hAnsi="Times New Roman"/>
          <w:sz w:val="13"/>
          <w:szCs w:val="13"/>
          <w:i w:val="1"/>
          <w:iCs w:val="1"/>
          <w:color w:val="auto"/>
        </w:rPr>
        <w:t>We rely on our ability to obtain required financing and access the financial markets to fund our replacement capital expenditures.</w:t>
      </w:r>
      <w:r>
        <w:rPr>
          <w:rFonts w:ascii="Times New Roman" w:cs="Times New Roman" w:eastAsia="Times New Roman" w:hAnsi="Times New Roman"/>
          <w:sz w:val="13"/>
          <w:szCs w:val="13"/>
          <w:color w:val="auto"/>
        </w:rPr>
        <w:t>”</w:t>
      </w:r>
    </w:p>
    <w:p>
      <w:pPr>
        <w:spacing w:after="0" w:line="112"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3"/>
          <w:szCs w:val="13"/>
          <w:b w:val="1"/>
          <w:bCs w:val="1"/>
          <w:color w:val="auto"/>
        </w:rPr>
        <w:t>Our financing arrangements contain, and we expect that any new or amended credit facilities or other financing arrangements we may enter into will contain, restrictive covenants, which may limit our business and financing activities, including our ability to pay cash dividends.</w:t>
      </w:r>
    </w:p>
    <w:p>
      <w:pPr>
        <w:spacing w:after="0" w:line="11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Operating and financial restrictions and covenants under our existing financing arrangements and any new financing arrangements we may enter into could adversely affect our ability to finance future operations or capital needs or to engage, expand or pursue our business activities. For example, our current financing arrangements require the consent of our lenders to, or limit our ability to, among other things:</w:t>
      </w:r>
    </w:p>
    <w:p>
      <w:pPr>
        <w:spacing w:after="0" w:line="114" w:lineRule="exact"/>
        <w:rPr>
          <w:sz w:val="20"/>
          <w:szCs w:val="20"/>
          <w:color w:val="auto"/>
        </w:rPr>
      </w:pPr>
    </w:p>
    <w:p>
      <w:pPr>
        <w:ind w:left="960" w:hanging="481"/>
        <w:spacing w:after="0"/>
        <w:tabs>
          <w:tab w:leader="none" w:pos="960" w:val="left"/>
        </w:tabs>
        <w:numPr>
          <w:ilvl w:val="0"/>
          <w:numId w:val="2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incur or guarantee indebtedness;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2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mortgage, charge, pledge or allow our vessels to be encumbered by any maritime or other lien or any other security interest of any kind except in the ordinary course of business;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2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change the flag, class or ownership of our vessels;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2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change the commercial and technical management of our vessels;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2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sell or change the beneficial ownership or control of our vessels; and</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2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subordinate our obligations thereunder to any general and administrative costs relating to our vessels, including fees payable under our management agreement.</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Our existing financing arrangements also require us to comply with the International Safety Management Code and to maintain valid safety management certificates and documents of compliance at all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times.</w:t>
      </w:r>
    </w:p>
    <w:p>
      <w:pPr>
        <w:spacing w:after="0" w:line="157"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34</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35" w:name="page36"/>
    <w:bookmarkEnd w:id="35"/>
    <w:p>
      <w:pPr>
        <w:ind w:left="480"/>
        <w:spacing w:after="0"/>
        <w:rPr>
          <w:sz w:val="20"/>
          <w:szCs w:val="20"/>
          <w:color w:val="auto"/>
        </w:rPr>
      </w:pPr>
      <w:r>
        <w:rPr>
          <w:rFonts w:ascii="Times New Roman" w:cs="Times New Roman" w:eastAsia="Times New Roman" w:hAnsi="Times New Roman"/>
          <w:sz w:val="13"/>
          <w:szCs w:val="13"/>
          <w:color w:val="auto"/>
        </w:rPr>
        <w:t>Our financing arrangements require us to comply with certain financial covenants:</w:t>
      </w:r>
    </w:p>
    <w:p>
      <w:pPr>
        <w:spacing w:after="0" w:line="170" w:lineRule="exact"/>
        <w:rPr>
          <w:sz w:val="20"/>
          <w:szCs w:val="20"/>
          <w:color w:val="auto"/>
        </w:rPr>
      </w:pPr>
    </w:p>
    <w:p>
      <w:pPr>
        <w:ind w:left="960" w:hanging="481"/>
        <w:spacing w:after="0"/>
        <w:tabs>
          <w:tab w:leader="none" w:pos="960" w:val="left"/>
        </w:tabs>
        <w:numPr>
          <w:ilvl w:val="0"/>
          <w:numId w:val="2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to maintain minimum free consolidated liquidity of at least $0.5 million per collateralized vessel;</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2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to maintain a ratio of EBITDA (as defined in each credit facility) to net interest expense of at least 2.00 to 1.00 on a trailing four quarter basis;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2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not to exceed a specified maximum leverage ratio in the form of a ratio of total net indebtedness to (fair value adjusted) total assets of 0.75; and</w:t>
      </w:r>
    </w:p>
    <w:p>
      <w:pPr>
        <w:spacing w:after="0" w:line="169" w:lineRule="exact"/>
        <w:rPr>
          <w:rFonts w:ascii="Arial" w:cs="Arial" w:eastAsia="Arial" w:hAnsi="Arial"/>
          <w:sz w:val="13"/>
          <w:szCs w:val="13"/>
          <w:b w:val="1"/>
          <w:bCs w:val="1"/>
          <w:color w:val="auto"/>
        </w:rPr>
      </w:pPr>
    </w:p>
    <w:p>
      <w:pPr>
        <w:ind w:left="960" w:hanging="481"/>
        <w:spacing w:after="0" w:line="292" w:lineRule="auto"/>
        <w:tabs>
          <w:tab w:leader="none" w:pos="960" w:val="left"/>
        </w:tabs>
        <w:numPr>
          <w:ilvl w:val="0"/>
          <w:numId w:val="2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to maintain a minimum security coverage ratio, usually defined as the ratio of the market value of the collateralized vessels or vessel and net realizable value of additional acceptable security to the respective outstanding amount under the applicable financing arrangement between 110% and 120%.</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Our financing arrangements prohibit the payment of dividends that are not in compliance with certain of these financial covenants or security coverage ratios or upon the occurrence of any other event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default.</w:t>
      </w:r>
    </w:p>
    <w:p>
      <w:pPr>
        <w:spacing w:after="0" w:line="157"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Furthermore, the Bonds we issued in July 2022 and October 2021 require us to (a) maintain a pledged Debt Service Reserve Account (the “DSRA”) with a minimum balance €100,000, (b) deposit to the DSRA an amount equal to 50% of any cash disbursements to our shareholders (e.g., dividends) exceeding $20.0 million per annum, capped at 1/3 of the par value of the Bonds outstanding at the time and (c) if our market value adjusted net worth (“MVAN”) falls below $300.0 million, to deposit to the DSRA the difference between the MVAN and $300.0 million (capped at 1/3 of the par value of the Bonds outstanding). The Bonds we issued in February 2026, require us to (a) maintain a separate pledged DSRA with a minimum balance €150,000, and (b) if our MVAN falls below $450.0 million, to deposit to the DSRA the difference between the MVAN and $450.0 million (capped at 1/3 of the par value of such Bonds).</w:t>
      </w:r>
    </w:p>
    <w:p>
      <w:pPr>
        <w:spacing w:after="0" w:line="133" w:lineRule="exact"/>
        <w:rPr>
          <w:sz w:val="20"/>
          <w:szCs w:val="20"/>
          <w:color w:val="auto"/>
        </w:rPr>
      </w:pPr>
    </w:p>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Our ability to comply with the covenants and restrictions contained in our financing arrangements may be affected by events beyond our control, including prevailing economic, financial and industry conditions, interest rate developments, changes in the funding costs of our financing institutions and changes in vessel earnings and asset valuations. If market or other economic conditions deteriorate, our ability to comply with these covenants may be impaired. If we are in breach of any of the restrictions, covenants, ratios or tests in our financing arrangements, or if we trigger a cross-default currently contained in our financing arrangements, we may be forced to suspend our dividends, a significant portion of our obligations may become immediately due and payable, and our lenders’ commitment (if any) to make further loans to us may terminate. We may not have, or be able to obtain, sufficient funds to make these accelerated payments. In addition, obligations under certain of our financing arrangements are secured by our vessels or through the ownership of the vessels, and if we are unable to repay, or otherwise default on, our obligations under our financing arrangements, the lenders could seek to take control of these assets.</w:t>
      </w:r>
    </w:p>
    <w:p>
      <w:pPr>
        <w:spacing w:after="0" w:line="135"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Furthermore, any contemplated vessel acquisitions will have to be at levels that do not impair the required ratios described above. Depressed shipping markets, lack of capital in the industry and prolonged overcapacity have an adverse effect on vessel values. If the estimated asset values of our vessels decrease, we may be obligated to prepay part of our outstanding debt in order to remain in compliance with the relevant covenants in our financing arrangements, which could have a material adverse effect on our business, financial condition, results of operations, cash flows and our ability to pay cash dividends and service or refinance our debt.</w:t>
      </w:r>
    </w:p>
    <w:p>
      <w:pPr>
        <w:spacing w:after="0" w:line="131"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35</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36" w:name="page37"/>
    <w:bookmarkEnd w:id="36"/>
    <w:p>
      <w:pPr>
        <w:jc w:val="both"/>
        <w:spacing w:after="0" w:line="296" w:lineRule="auto"/>
        <w:rPr>
          <w:sz w:val="20"/>
          <w:szCs w:val="20"/>
          <w:color w:val="auto"/>
        </w:rPr>
      </w:pPr>
      <w:r>
        <w:rPr>
          <w:rFonts w:ascii="Times New Roman" w:cs="Times New Roman" w:eastAsia="Times New Roman" w:hAnsi="Times New Roman"/>
          <w:sz w:val="13"/>
          <w:szCs w:val="13"/>
          <w:b w:val="1"/>
          <w:bCs w:val="1"/>
          <w:color w:val="auto"/>
        </w:rPr>
        <w:t>If we are in breach of any of the terms of our financing arrangements, a significant portion of our obligations may become immediately due and payable. This could affect our ability to execute our business strategy or pay cash dividends.</w:t>
      </w:r>
    </w:p>
    <w:p>
      <w:pPr>
        <w:spacing w:after="0" w:line="112"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A default under our financing arrangements could result in foreclosure on any of our vessels and other assets secured or a loss of our rights as lessee under such arrangements. To the extent that our cash flows are insufficient to make required service payments under our financing arrangements or asset cover is inadequate due to a deterioration in vessel values, we will need to refinance some or all of the principal outstanding under our financing arrangements, replace it with alternate credit arrangements or provide additional security. We may not be able to refinance or replace our financing arrangements or provide additional security at the time they become due.</w:t>
      </w:r>
    </w:p>
    <w:p>
      <w:pPr>
        <w:spacing w:after="0" w:line="131"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In the event we default under our financing arrangements or we are not able to refinance our existing indebtedness with new financing arrangements on commercially acceptable terms, or if our operating results are not sufficient to service current or future indebtedness, or to make relevant interest, principal or lease repayments if necessary, we may be forced to take actions such as reducing or eliminating dividends, reducing or delaying business activities, acquisitions, investments or capital expenditures, selling assets, restructuring or refinancing debt and leasing obligations, or seeking additional equity capital or bankruptcy protection. In addition, the terms of any refinancing or alternate financing arrangement may restrict our financial and operating flexibility and our ability to pay cash dividends.</w:t>
      </w:r>
    </w:p>
    <w:p>
      <w:pPr>
        <w:spacing w:after="0" w:line="131"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We may not be able to reach agreement with our finance providers to amend the terms of the then existing financing arrangements or waive any breaches and we may not have, or be able to obtain, sufficient funds to make any accelerated payments which may cause our finance providers to seek to foreclose on the vessels in our fleet securing those financing arrangements, which could have a material adverse effect on our business, results of operations and financial condition and our ability to pay cash dividends.</w:t>
      </w:r>
    </w:p>
    <w:p>
      <w:pPr>
        <w:spacing w:after="0" w:line="1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Events of default under our financing arrangements include:</w:t>
      </w:r>
    </w:p>
    <w:p>
      <w:pPr>
        <w:spacing w:after="0" w:line="170" w:lineRule="exact"/>
        <w:rPr>
          <w:sz w:val="20"/>
          <w:szCs w:val="20"/>
          <w:color w:val="auto"/>
        </w:rPr>
      </w:pPr>
    </w:p>
    <w:p>
      <w:pPr>
        <w:ind w:left="960" w:hanging="481"/>
        <w:spacing w:after="0"/>
        <w:tabs>
          <w:tab w:leader="none" w:pos="960" w:val="left"/>
        </w:tabs>
        <w:numPr>
          <w:ilvl w:val="0"/>
          <w:numId w:val="2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failure to pay principal or interest when due;</w:t>
      </w:r>
    </w:p>
    <w:p>
      <w:pPr>
        <w:spacing w:after="0" w:line="169" w:lineRule="exact"/>
        <w:rPr>
          <w:rFonts w:ascii="Arial" w:cs="Arial" w:eastAsia="Arial" w:hAnsi="Arial"/>
          <w:sz w:val="13"/>
          <w:szCs w:val="13"/>
          <w:b w:val="1"/>
          <w:bCs w:val="1"/>
          <w:color w:val="auto"/>
        </w:rPr>
      </w:pPr>
    </w:p>
    <w:p>
      <w:pPr>
        <w:ind w:left="960" w:hanging="481"/>
        <w:spacing w:after="0" w:line="292" w:lineRule="auto"/>
        <w:tabs>
          <w:tab w:leader="none" w:pos="960" w:val="left"/>
        </w:tabs>
        <w:numPr>
          <w:ilvl w:val="0"/>
          <w:numId w:val="2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breach of certain undertakings, negative covenants and financial covenants contained in the financing arrangements, any related security document or guarantee, including failure to maintain unencumbered title to any of the vessel-owning subsidiaries and failure to maintain proper insurance;</w:t>
      </w:r>
    </w:p>
    <w:p>
      <w:pPr>
        <w:spacing w:after="0" w:line="114" w:lineRule="exact"/>
        <w:rPr>
          <w:rFonts w:ascii="Arial" w:cs="Arial" w:eastAsia="Arial" w:hAnsi="Arial"/>
          <w:sz w:val="13"/>
          <w:szCs w:val="13"/>
          <w:b w:val="1"/>
          <w:bCs w:val="1"/>
          <w:color w:val="auto"/>
        </w:rPr>
      </w:pPr>
    </w:p>
    <w:p>
      <w:pPr>
        <w:ind w:left="960" w:hanging="481"/>
        <w:spacing w:after="0" w:line="292" w:lineRule="auto"/>
        <w:tabs>
          <w:tab w:leader="none" w:pos="960" w:val="left"/>
        </w:tabs>
        <w:numPr>
          <w:ilvl w:val="0"/>
          <w:numId w:val="2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any breach of the financing arrangements, any related security document or guarantee (other than breaches described in the preceding two bullet points) if, in the opinion of the lenders, such default is capable of remedy and continues unremedied following prior written notice of the lenders for a specified period;</w:t>
      </w:r>
    </w:p>
    <w:p>
      <w:pPr>
        <w:spacing w:after="0" w:line="114" w:lineRule="exact"/>
        <w:rPr>
          <w:rFonts w:ascii="Arial" w:cs="Arial" w:eastAsia="Arial" w:hAnsi="Arial"/>
          <w:sz w:val="13"/>
          <w:szCs w:val="13"/>
          <w:b w:val="1"/>
          <w:bCs w:val="1"/>
          <w:color w:val="auto"/>
        </w:rPr>
      </w:pPr>
    </w:p>
    <w:p>
      <w:pPr>
        <w:ind w:left="960" w:hanging="481"/>
        <w:spacing w:after="0"/>
        <w:tabs>
          <w:tab w:leader="none" w:pos="960" w:val="left"/>
        </w:tabs>
        <w:numPr>
          <w:ilvl w:val="0"/>
          <w:numId w:val="2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any breach of representation, warranty or statement made by us in our financing arrangements or related security document or guarantee or the interest rate swap agreements (if any);</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2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 cross-default of our other indebtedness of $30.0 million or greater;</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2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our inability, in the reasonable opinion of the lenders, to pay our debts when due;</w:t>
      </w:r>
    </w:p>
    <w:p>
      <w:pPr>
        <w:spacing w:after="0" w:line="169" w:lineRule="exact"/>
        <w:rPr>
          <w:rFonts w:ascii="Arial" w:cs="Arial" w:eastAsia="Arial" w:hAnsi="Arial"/>
          <w:sz w:val="13"/>
          <w:szCs w:val="13"/>
          <w:b w:val="1"/>
          <w:bCs w:val="1"/>
          <w:color w:val="auto"/>
        </w:rPr>
      </w:pPr>
    </w:p>
    <w:p>
      <w:pPr>
        <w:ind w:left="960" w:hanging="481"/>
        <w:spacing w:after="0" w:line="265" w:lineRule="auto"/>
        <w:tabs>
          <w:tab w:leader="none" w:pos="960" w:val="left"/>
        </w:tabs>
        <w:numPr>
          <w:ilvl w:val="0"/>
          <w:numId w:val="2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any form of execution, attachment, arrest, sequestration or distress which has or is reasonably likely to have a “material adverse effect” (as such term is defined under our financing arrangements);</w:t>
      </w:r>
    </w:p>
    <w:p>
      <w:pPr>
        <w:spacing w:after="0" w:line="313" w:lineRule="exact"/>
        <w:rPr>
          <w:rFonts w:ascii="Arial" w:cs="Arial" w:eastAsia="Arial" w:hAnsi="Arial"/>
          <w:sz w:val="13"/>
          <w:szCs w:val="13"/>
          <w:b w:val="1"/>
          <w:bCs w:val="1"/>
          <w:color w:val="auto"/>
        </w:rPr>
      </w:pPr>
    </w:p>
    <w:p>
      <w:pPr>
        <w:ind w:left="960" w:hanging="481"/>
        <w:spacing w:after="0"/>
        <w:tabs>
          <w:tab w:leader="none" w:pos="960" w:val="left"/>
        </w:tabs>
        <w:numPr>
          <w:ilvl w:val="0"/>
          <w:numId w:val="2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an event of insolvency or bankruptcy;</w:t>
      </w:r>
    </w:p>
    <w:p>
      <w:pPr>
        <w:spacing w:after="0" w:line="169"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36</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37" w:name="page38"/>
    <w:bookmarkEnd w:id="37"/>
    <w:p>
      <w:pPr>
        <w:ind w:left="960" w:hanging="481"/>
        <w:spacing w:after="0"/>
        <w:tabs>
          <w:tab w:leader="none" w:pos="960" w:val="left"/>
        </w:tabs>
        <w:numPr>
          <w:ilvl w:val="0"/>
          <w:numId w:val="2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cessation or suspension of our business or of a material part thereof;</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2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unlawfulness, non-effectiveness or repudiation of any material provision of our financing arrangements, of any of the related finance and guarantee documents;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2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failure of effectiveness of security documents or guarantee;</w:t>
      </w:r>
    </w:p>
    <w:p>
      <w:pPr>
        <w:spacing w:after="0" w:line="169" w:lineRule="exact"/>
        <w:rPr>
          <w:rFonts w:ascii="Arial" w:cs="Arial" w:eastAsia="Arial" w:hAnsi="Arial"/>
          <w:sz w:val="13"/>
          <w:szCs w:val="13"/>
          <w:b w:val="1"/>
          <w:bCs w:val="1"/>
          <w:color w:val="auto"/>
        </w:rPr>
      </w:pPr>
    </w:p>
    <w:p>
      <w:pPr>
        <w:ind w:left="1000" w:hanging="521"/>
        <w:spacing w:after="0"/>
        <w:tabs>
          <w:tab w:leader="none" w:pos="1000" w:val="left"/>
        </w:tabs>
        <w:numPr>
          <w:ilvl w:val="0"/>
          <w:numId w:val="2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delisting of our common shares from the Nasdaq Global Select Market or on any other recognized securities exchange;</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2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invalidity of a security document in any material respect or if any security document ceases to provide a perfected first priority security interest;</w:t>
      </w:r>
    </w:p>
    <w:p>
      <w:pPr>
        <w:spacing w:after="0" w:line="169" w:lineRule="exact"/>
        <w:rPr>
          <w:rFonts w:ascii="Arial" w:cs="Arial" w:eastAsia="Arial" w:hAnsi="Arial"/>
          <w:sz w:val="13"/>
          <w:szCs w:val="13"/>
          <w:b w:val="1"/>
          <w:bCs w:val="1"/>
          <w:color w:val="auto"/>
        </w:rPr>
      </w:pPr>
    </w:p>
    <w:p>
      <w:pPr>
        <w:ind w:left="960" w:hanging="481"/>
        <w:spacing w:after="0" w:line="265" w:lineRule="auto"/>
        <w:tabs>
          <w:tab w:leader="none" w:pos="960" w:val="left"/>
        </w:tabs>
        <w:numPr>
          <w:ilvl w:val="0"/>
          <w:numId w:val="2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failure by key charter parties to comply with the terms of their charters to the extent that we are unable to replace the charter in a manner that meets our obligations under the financing arrangements;</w:t>
      </w:r>
    </w:p>
    <w:p>
      <w:pPr>
        <w:spacing w:after="0" w:line="313" w:lineRule="exact"/>
        <w:rPr>
          <w:rFonts w:ascii="Arial" w:cs="Arial" w:eastAsia="Arial" w:hAnsi="Arial"/>
          <w:sz w:val="13"/>
          <w:szCs w:val="13"/>
          <w:b w:val="1"/>
          <w:bCs w:val="1"/>
          <w:color w:val="auto"/>
        </w:rPr>
      </w:pPr>
    </w:p>
    <w:p>
      <w:pPr>
        <w:ind w:left="960" w:hanging="481"/>
        <w:spacing w:after="0" w:line="292" w:lineRule="auto"/>
        <w:tabs>
          <w:tab w:leader="none" w:pos="960" w:val="left"/>
        </w:tabs>
        <w:numPr>
          <w:ilvl w:val="0"/>
          <w:numId w:val="2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any other event that occurs or circumstance that arises in light of which our finance providers under our financing arrangements reasonably consider that there is a significant risk that we will be unable to discharge our liabilities under our financing arrangements and related security or guarantee documents.</w:t>
      </w:r>
    </w:p>
    <w:p>
      <w:pPr>
        <w:spacing w:after="0" w:line="113" w:lineRule="exact"/>
        <w:rPr>
          <w:sz w:val="20"/>
          <w:szCs w:val="20"/>
          <w:color w:val="auto"/>
        </w:rPr>
      </w:pPr>
    </w:p>
    <w:p>
      <w:pPr>
        <w:jc w:val="both"/>
        <w:ind w:firstLine="479"/>
        <w:spacing w:after="0" w:line="296" w:lineRule="auto"/>
        <w:rPr>
          <w:sz w:val="20"/>
          <w:szCs w:val="20"/>
          <w:color w:val="auto"/>
        </w:rPr>
      </w:pPr>
      <w:r>
        <w:rPr>
          <w:rFonts w:ascii="Times New Roman" w:cs="Times New Roman" w:eastAsia="Times New Roman" w:hAnsi="Times New Roman"/>
          <w:sz w:val="13"/>
          <w:szCs w:val="13"/>
          <w:color w:val="auto"/>
        </w:rPr>
        <w:t>In addition, certain dealings in connection with sanctioned countries could trigger a mandatory prepayment event. See “—Regulatory Risks—</w:t>
      </w:r>
      <w:r>
        <w:rPr>
          <w:rFonts w:ascii="Times New Roman" w:cs="Times New Roman" w:eastAsia="Times New Roman" w:hAnsi="Times New Roman"/>
          <w:sz w:val="13"/>
          <w:szCs w:val="13"/>
          <w:i w:val="1"/>
          <w:iCs w:val="1"/>
          <w:color w:val="auto"/>
        </w:rPr>
        <w:t>Our vessels may be chartered or sub-chartered to parties, or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call on ports, located in countries that are subject to restrictions and sanctions imposed by the United States, the EU and other jurisdictions</w:t>
      </w:r>
      <w:r>
        <w:rPr>
          <w:rFonts w:ascii="Times New Roman" w:cs="Times New Roman" w:eastAsia="Times New Roman" w:hAnsi="Times New Roman"/>
          <w:sz w:val="13"/>
          <w:szCs w:val="13"/>
          <w:color w:val="auto"/>
        </w:rPr>
        <w:t>.”</w:t>
      </w:r>
    </w:p>
    <w:p>
      <w:pPr>
        <w:spacing w:after="0" w:line="11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Any future financing arrangement could have similar or more onerous restrictions. Please see “Item 5. Operating and Financial Review and Prospects—B. Liquidity and Capital Resources—Borrowings (Financing Arrangements)” for further information on our existing facilities.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 rise in interest rates would result in increased interest expense, which would materially and adversely affect our financial condition and ability to pay cash dividends.</w:t>
      </w:r>
    </w:p>
    <w:p>
      <w:pPr>
        <w:spacing w:after="0" w:line="17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We are reliant on our ability to obtain required financing to operate and grow our business, including debt financing. As of December 31, 2025, $1,843.7 million out of our total debt from continuous operations of $2,369.9 million is floating rate debt, which means we pay interest on such debt at a margin on top of an agreed benchmark rate. Worldwide economies have experienced inflationary pressures in recent years, with an inflationary spike in 2022 and 2023. In response to inflationary pressures, central banks raised interest rates, which translated into elevated base interest rates that resulted in an increase to our interest expense on our existing floating rate debt. Although various central banks have reduced interest rates in response to reduced inflation throughout 2024 and 2025, inflation and interest rates remain at elevated levels compared to the period prior to 2022 and 2023. If central banks decide to increase interest rates, stop lowering interest rates, or interest rates otherwise increase significantly or remain at elevated levels, the increase in base rates and the resulting increase in our existing floating rate interest expense, as well as increases to the interest rates available to us on new financing arrangements we may pursue, could materially and adversely affect our financial condition and ability to pay cash dividends. See “</w:t>
      </w:r>
      <w:r>
        <w:rPr>
          <w:rFonts w:ascii="Times New Roman" w:cs="Times New Roman" w:eastAsia="Times New Roman" w:hAnsi="Times New Roman"/>
          <w:sz w:val="13"/>
          <w:szCs w:val="13"/>
          <w:i w:val="1"/>
          <w:iCs w:val="1"/>
          <w:color w:val="auto"/>
        </w:rPr>
        <w:t>—We have incurred significant indebtedness, which could adversely affect our ability to finance our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operations, refinance our existing indebtedness, pursue desirable business opportunities, successfully run our business or pay cash dividends.</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Risks Inherent in an Investment in Us—</w:t>
      </w:r>
      <w:r>
        <w:rPr>
          <w:rFonts w:ascii="Times New Roman" w:cs="Times New Roman" w:eastAsia="Times New Roman" w:hAnsi="Times New Roman"/>
          <w:sz w:val="13"/>
          <w:szCs w:val="13"/>
          <w:i w:val="1"/>
          <w:iCs w:val="1"/>
          <w:color w:val="auto"/>
        </w:rPr>
        <w:t>We cannot assure you that we will pay any dividends on our common shares.</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37</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3"/>
          <w:szCs w:val="13"/>
          <w:b w:val="1"/>
          <w:bCs w:val="1"/>
          <w:color w:val="auto"/>
        </w:rPr>
        <w:t>REGULATORY RISKS</w:t>
      </w:r>
    </w:p>
    <w:p>
      <w:pPr>
        <w:spacing w:after="0" w:line="17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b w:val="1"/>
          <w:bCs w:val="1"/>
          <w:color w:val="auto"/>
        </w:rPr>
        <w:t>Our vessels may be chartered or sub-chartered to parties, or call on ports, located in countries that are subject to restrictions and sanctions imposed by the United States, the EU and other jurisdictions.</w:t>
      </w:r>
    </w:p>
    <w:p>
      <w:pPr>
        <w:spacing w:after="0" w:line="314" w:lineRule="exact"/>
        <w:rPr>
          <w:sz w:val="20"/>
          <w:szCs w:val="20"/>
          <w:color w:val="auto"/>
        </w:rPr>
      </w:pPr>
    </w:p>
    <w:p>
      <w:pPr>
        <w:jc w:val="both"/>
        <w:ind w:firstLine="479"/>
        <w:spacing w:after="0" w:line="259" w:lineRule="auto"/>
        <w:rPr>
          <w:sz w:val="20"/>
          <w:szCs w:val="20"/>
          <w:color w:val="auto"/>
        </w:rPr>
      </w:pPr>
      <w:r>
        <w:rPr>
          <w:rFonts w:ascii="Times New Roman" w:cs="Times New Roman" w:eastAsia="Times New Roman" w:hAnsi="Times New Roman"/>
          <w:sz w:val="13"/>
          <w:szCs w:val="13"/>
          <w:color w:val="auto"/>
        </w:rPr>
        <w:t>Certain countries, entities and persons are targeted by economic sanctions and embargoes imposed by the United States, the EU and other jurisdictions, and a number of those countries have been identified as state sponsors of terrorism by the U.S. Department of State. Such economic sanctions and embargo laws and regulations vary in their application with regard to countries, entities or persons and the scope of activities they subject to sanctions. These sanctions and embargo laws and regulations may be strengthened, relaxed or otherwise modified over time. In particular, sanctions imposed in relation to the Russian invasion of Ukraine have created significant disruptions in the global economy and in the shipping industry. While it is difficult to estimate the impact of the conflict and current or future sanctions on our business and financial position, these events and related sanctions could adversely impact our operations. In recent years, economic sanctions were imposed by the United States, the EU, the United Kingdom and a number of other countries on Russian financial institutions, businesses and individuals, as well as certain regions within the Donbas region of Ukraine. Certain of these sanctions have targeted Russia’s usage of and participation in maritime shipping. For example, the United Kingdom and the EU have introduced export restrictions, which capture the provision of maritime vessels and supplies to or for use in Russia. They have also imposed restrictions on providing financing, financial assistance, technical assistance and brokering or other services that would further the provision of vessels to or for use in Russia, including the provision of maritime navigation goods. Import bans of Russian energy products, such as coal, crude oil and refined petroleum products, and commodities, such as coal, iron, steel, plastics, cement and agricultural products including potash and fertilizer, have also been introduced by a number of jurisdictions. In addition, certain jurisdictions, such as Greece and the United States, have temporarily detained vessels suspected of violating sanctions. Countries, such as Canada, the United Kingdom and the EU member states, have also broadly prohibited Russian-affiliated vessels from entering their waters and/or ports. In light of the current regulatory and economic environment in the region, certain vessel operators have temporarily suspended shipping routes to and from Russia or have declined to engage in business with Russian-affiliated entities.</w:t>
      </w:r>
    </w:p>
    <w:p>
      <w:pPr>
        <w:spacing w:after="0" w:line="300"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These bans and related trade sanctions have started to change trade patterns across the shipping industry and existing or future restrictions may affect our current or future charters. In the near term, we have seen, and expect to continue to see, increased volatility in the region due to these geopolitical events. In addition, the volatility of market prices for fuel and energy products have increased as a result of related supply disruptions from the war in Ukraine. While uncertainty remains with respect to the ultimate impact of the conflict, we have seen, and anticipate continuing to see, significant changes in trade flows. A reduction or stoppage of grain out of the Black Sea or cargoes from Russia has, and will continue to, negatively impact the markets in those areas. In addition, increased volatility in the price of fuel or energy commodities may increase or decrease the price of fuel used by our vessels and/or demand for LNG, LPG, ammonia or other goods we transport or expect to transport, each of which could affect our operations and liquidity. Due to their effect on the global market for LNG, LPG, ammonia or other goods we transport or expect to transport, current or additional sanctions could have a material adverse impact on our cash flows, financial condition and ability to pay cash dividends.</w:t>
      </w:r>
    </w:p>
    <w:p>
      <w:pPr>
        <w:spacing w:after="0" w:line="135"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38</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39" w:name="page40"/>
    <w:bookmarkEnd w:id="39"/>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We are mindful of the restrictions contained in the various economic sanctions programs and embargo laws administered by the United States, the EU and other jurisdictions that limit the ability of companies and persons from doing business or trading with targeted countries and persons and entities and our charter agreements include provisions that restrict trades of our vessels to countries or to sub-charterers targeted by economic sanctions unless such trades involving sanctioned countries or persons are permitted under applicable economic sanctions and embargo regimes. However, it is possible that the charterers of our vessels may violate applicable sanctions, laws and regulations, using our vessels or otherwise, and the applicable authorities may seek to review our activities as the vessel owner. Any violation of sanctions or embargoes could result in the Company incurring monetary fines, penalties or other sanctions. In addition, certain institutional investors may have investment policies or restrictions that prevent them from holding securities of companies that have contacts with countries or entities or persons within these countries that are identified by the U.S. government as state sponsors of terrorism. We are required to comply with such policies in order to maintain access to charterers and capital. Although we have various policies and controls designed to help ensure our compliance with these economic sanctions and embargo laws, it is nevertheless possible that third-party charterers of our vessels, or their sub-charterers, may arrange for vessels in our fleet to call on ports located in one or more sanctioned countries without our consent and in violation of their charter agreements.</w:t>
      </w:r>
    </w:p>
    <w:p>
      <w:pPr>
        <w:spacing w:after="0" w:line="134"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New, or changes to existing, sanctions-related legislation or agreements may impact our business. Moreover, although we believe that we are in compliance with all applicable sanctions and embargo laws and regulations, and intend to maintain such compliance, the scope of certain laws may be unclear, may be subject to changing interpretations or may be strengthened or otherwise amended. Any violation of sanctions or engagement in sanctionable conduct could result in fines, sanctions or other penalties, and could negatively affect our reputation and result in some investors deciding, or being required, to divest their interest, or not to invest, in our common shares. As noted above, any such violation or conduct would trigger a mandatory payment event under our financing arrangements. Finally, future expansion of sanctions or the imposition of sanctions on other jurisdictions could prevent our vessels from making any calls at certain ports, which could have a negative impact on our business and results of operations.</w:t>
      </w:r>
    </w:p>
    <w:p>
      <w:pPr>
        <w:spacing w:after="0" w:line="13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3"/>
          <w:szCs w:val="13"/>
          <w:b w:val="1"/>
          <w:bCs w:val="1"/>
          <w:color w:val="auto"/>
        </w:rPr>
        <w:t>The maritime transportation industry is subject to substantial environmental and other regulations and international standards, which have become stricter over time and which may significantly limit our operations, result in substantial penalties or increase our expenditures.</w:t>
      </w:r>
    </w:p>
    <w:p>
      <w:pPr>
        <w:spacing w:after="0" w:line="112"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Our operations are affected by extensive and increasingly stringent international, national and local environmental protection laws, regulations, treaties, conventions and standards in force in international waters, the jurisdictional waters of the countries in which our vessels operate, as well as the countries of our vessels’ registration. Many of these requirements are designed to reduce the risk of oil spills, limit air emissions and other pollution, and to reduce potential negative environmental effects associated with the maritime industry in general. Further legislation, or changes to existing legislation, conventions or standards applicable to international and national maritime trade is expected over the coming years relating to environmental matters. In particular, due to concerns over the risks associated with climate change, a number of countries and the IMO have adopted, or are considering the adoption of, regulatory frameworks to reduce greenhouse gas emission from ships. These regulatory measures may include the adoption of cap and trade regimes, carbon taxes, increased efficiency standards, operational limitations and incentives or mandates for renewable energy. See “Item 4. Information on the Company—B. Business Overview-Regulation” for more information on regulation applicable to our business.</w:t>
      </w:r>
    </w:p>
    <w:p>
      <w:pPr>
        <w:spacing w:after="0" w:line="135" w:lineRule="exact"/>
        <w:rPr>
          <w:sz w:val="20"/>
          <w:szCs w:val="20"/>
          <w:color w:val="auto"/>
        </w:rPr>
      </w:pPr>
    </w:p>
    <w:p>
      <w:pPr>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39</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40" w:name="page41"/>
    <w:bookmarkEnd w:id="40"/>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Emissions of greenhouse gases from international shipping currently are not subject to the Kyoto Protocol to the United Nations Framework Convention on Climate Change, or any amendments or successor agreements and the Paris Agreement adopted under the United Nations Framework Convention on Climate Change in December 2015 did not include any restrictions or other measures specific to shipping emissions. However, maritime shipping has been included in the Emission Trading System (“ETS”) Directive as of 2024 with a phase-in period. As part of the phased approach shipping companies are required to surrender 40% of their 2024 emissions in 2025; 70% of their 2025 emissions in 2026; and 100% of their 2026 emissions in 2027. The person or organization responsible for the compliance with the ETS Directive will be the shipping company, defined as the shipowner or any other organization or person, such as the manager or the bareboat charterer, that has assumed the responsibility for the operation of the ship from the shipowner. To mitigate financial impacts, ETS cost clauses have been mandated, enabling shipping companies to contractually pass ETS Directive allowance costs onto commercial operators such as our charterers. Compliance with the ETS Directive will result in additional compliance and administration costs to properly incorporate the provisions of the ETS Directive into our business routines.</w:t>
      </w:r>
    </w:p>
    <w:p>
      <w:pPr>
        <w:spacing w:after="0" w:line="135" w:lineRule="exact"/>
        <w:rPr>
          <w:sz w:val="20"/>
          <w:szCs w:val="20"/>
          <w:color w:val="auto"/>
        </w:rPr>
      </w:pPr>
    </w:p>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In addition, Regulation (EU) 2023/1805 on the use of renewable and low-carbon fuels in maritime transport (“FuelEU Maritime”), which forms part of the European Union’s “Fit for 55” package, introduces requirements to progressively reduce the greenhouse gas intensity of energy used on board vessels trading in the European Economic Area. The regulation imposes annual compliance obligations at vessel level, including potential penalties for non-compliance, as well as mechanisms such as banking, borrowing, and pooling of compliance balances. As with the EU ETS, the entity responsible for compliance is the shipping company, which may not always align with the party bearing the commercial cost of fuel consumption. Compliance with FuelEU Maritime is expected to increase operational complexity and may result in additional costs related to fuel selection, compliance management, verification, and potential penalties. While contractual mechanisms are being developed to allocate such costs to charterers, there can be no assurance that all such costs will be fully recoverable, which may adversely affect our financial condition and results of operations.</w:t>
      </w:r>
    </w:p>
    <w:p>
      <w:pPr>
        <w:spacing w:after="0" w:line="135"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The IMO’s 2023 GHG Reduction Strategy and proposed Net-Zero Framework (“NZF”) set targets for the decarbonization of international shipping, including achieving net-zero greenhouse gas (“GHG”) emissions by around 2050 on a “well-to-wake” basis. The framework contemplates short-, medium-, and long-term measures to reduce emissions. The NZF is being developed as a proposed amendment to Annex VI of the MARPOL Convention, introducing a global fuel-intensity standard aimed at reducing GHG emissions per unit of transport work. It is expected to apply to vessels above 5,000 gross tonnage, which account for the majority of international shipping emissions, and is intended to promote lower-carbon fuels and technologies. At its 83rd session in April 2025, the IMO’s Marine Environment Protection Committee (“MEPC”) approved the NZF in principle. However, at an extraordinary session in October 2025, formal adoption was deferred following a vote to adjourn for 12 months. Discussions are expected to continue in 2026, alongside the development of implementation guidelines. If adopted, the NZF may impose obligations and result in additional costs for vessel owners and operators, including fuel-intensity requirements (potentially requiring technical upgrades, the use of alternative fuels, and/or operational changes) and compliance mechanisms such as the purchase compliance units or payment a carbon fee, which could increase operating costs. Vessels exceeding targets may receive tradable credits, subject to the final design of the system.</w:t>
      </w:r>
    </w:p>
    <w:p>
      <w:pPr>
        <w:spacing w:after="0" w:line="137"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40</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41" w:name="page42"/>
    <w:bookmarkEnd w:id="41"/>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Regulatory requirements applicable to our operations can affect the resale value or useful lives of our vessels, increase operational costs, require a reduction in cargo capacity, ship modifications or operational changes or restrictions, decrease profitability, lead to decreased availability of insurance coverage for environmental risks or result in the denial of access to certain jurisdictional waters or ports, or detention in certain ports. Significant expenditures for the installation of additional equipment or new systems on board our vessels may be required in order to comply with existing or future environmental regulations. In addition, we may incur significant additional costs in meeting new maintenance, training and inspection requirements, in developing contingency arrangements for potential spills and in obtaining insurance coverage. Government regulation of vessels, particularly in the areas of safety and environmental requirements, can be expected to become stricter and require us to incur significant capital expenditure on our vessels to keep them in compliance, or even to scrap or sell certain vessels altogether. Among other things, any climate control legislation, or other regulatory initiatives that aim to reduce greenhouse gases emissions, may include increases in the pricing of greenhouse gas emissions, new reporting regulations, changes in legislation impacting existing products and services, costs of transitioning to lower-emission fuels and technologies, potential substitution or replacement of existing products and services, and stakeholder concerns and/or shifts in customer preferences which may have financial implications for our business and could lead us to retire existing vessels prior to the end of the their currently-anticipated useful lives.</w:t>
      </w:r>
    </w:p>
    <w:p>
      <w:pPr>
        <w:spacing w:after="0" w:line="134"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Under local, national and foreign laws, as well as international treaties and conventions, we could incur material liabilities, including clean up obligations and natural resource damages, in the event that there is a release of petroleum or other hazardous substances from our vessels or otherwise in connection with our operations. We could also become subject to personal injury and property damage claims and natural resource damages relating to the release of, or exposure to, hazardous materials associated with our current or historic operations. Violations of or liabilities under environmental requirements also can result in substantial penalties, fines and other sanctions including, in certain instances, seizure or detention of our vessels.</w:t>
      </w:r>
    </w:p>
    <w:p>
      <w:pPr>
        <w:spacing w:after="0" w:line="131"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Furthermore, as a result of marine accidents, we believe that regulation of the shipping industry will continue to become more stringent and more expensive for us and our competitors. Future incidents may result in the adoption of even stricter laws and regulations. If stricter laws or regulations governing the shipping industry are enacted, including those governing environmental harm, marine accidents or competition rules, it could limit our operations or our ability to do business and could have a material adverse effect on our business, financial condition, operating results and ability to pay cash dividends and to service or refinance our debt.</w:t>
      </w:r>
    </w:p>
    <w:p>
      <w:pPr>
        <w:spacing w:after="0" w:line="131"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41</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b w:val="1"/>
          <w:bCs w:val="1"/>
          <w:color w:val="auto"/>
        </w:rPr>
        <w:t>Compliance with safety and other vessel requirements imposed by classification societies may be costly and could reduce our net cash flows and net income.</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The hull and machinery of every commercial vessel must be certified as being “in class” by a classification society authorized by its country of registry. The classification society certifies that a vessel is safe and seaworthy in accordance with the applicable rules and regulations of the country of registry of the vessel and the Safety of Life at Sea Convention.</w:t>
      </w:r>
    </w:p>
    <w:p>
      <w:pPr>
        <w:spacing w:after="0" w:line="114" w:lineRule="exact"/>
        <w:rPr>
          <w:sz w:val="20"/>
          <w:szCs w:val="20"/>
          <w:color w:val="auto"/>
        </w:rPr>
      </w:pPr>
    </w:p>
    <w:p>
      <w:pPr>
        <w:jc w:val="both"/>
        <w:ind w:firstLine="479"/>
        <w:spacing w:after="0" w:line="272" w:lineRule="auto"/>
        <w:rPr>
          <w:sz w:val="20"/>
          <w:szCs w:val="20"/>
          <w:color w:val="auto"/>
        </w:rPr>
      </w:pPr>
      <w:r>
        <w:rPr>
          <w:rFonts w:ascii="Times New Roman" w:cs="Times New Roman" w:eastAsia="Times New Roman" w:hAnsi="Times New Roman"/>
          <w:sz w:val="13"/>
          <w:szCs w:val="13"/>
          <w:color w:val="auto"/>
        </w:rPr>
        <w:t>A vessel must undergo annual surveys, intermediate surveys and special surveys. In lieu of a special survey, a vessel’s machinery may be placed on a continuous survey cycle, under which the machinery would be surveyed periodically over a five-year period. We expect our vessels to be on special survey cycles for hull inspection and continuous survey cycles for machinery inspection. Every vessel is also required to have its underwater parts inspected by class every two to three years, but for vessels subject to enhanced survey requirements and above 15 years of age, its underwater parts must be inspected in dry-dock.</w:t>
      </w:r>
    </w:p>
    <w:p>
      <w:pPr>
        <w:spacing w:after="0" w:line="290"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If any vessel does not maintain its class or fails any annual, intermediate or special survey, the vessel, as per the International Association of Classification Societies (“IACS”) unified procedure for automatic suspension of class, will be dis-classed and will be unable to maintain insurance arrangements and trade between ports and will be unemployable, which could have a material adverse effect on our business, results of operations, cash flows, financial condition and ability to pay cash dividends and to service or refinance our debt.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Increased inspection procedures and tighter import and export controls could increase costs and disrupt our business.</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International shipping is subject to various security and customs inspection and related procedures in countries of origin and destination and trans-shipment points. Inspection procedures may result in the seizure of contents of our vessels, delays in the loading, offloading, trans-shipment or delivery and the levying of customs duties, fines or other penalties against us.</w:t>
      </w:r>
    </w:p>
    <w:p>
      <w:pPr>
        <w:spacing w:after="0" w:line="114"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It is possible that changes to inspection procedures could impose additional financial and legal obligations on us. Changes to inspection procedures could also impose additional costs and obligations on our charterers and may, in certain cases, render the shipment of certain types of cargo uneconomical or impractical. Any such changes or developments may have a material adverse effect on our business, financial condition, results of operations, cash flows and ability to pay cash dividends and service or refinance our debt.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The smuggling of drugs or other contraband onto our vessels may lead to governmental claims against us.</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Our vessels call in ports throughout the world, and smugglers may attempt to hide drugs and other contraband on our vessels, with or without the knowledge of crew members. To the extent our vessels are found with contraband, whether inside or attached to the hull of our vessels, and whether with or without the knowledge of any of our crew, we may face governmental or other regulatory claims or penalties, which could have an adverse effect on our business, financial condition, results of operations, cash flows and ability to pay cash dividends and service or refinance our debt.</w:t>
      </w:r>
    </w:p>
    <w:p>
      <w:pPr>
        <w:spacing w:after="0" w:line="127"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42</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3"/>
          <w:szCs w:val="13"/>
          <w:b w:val="1"/>
          <w:bCs w:val="1"/>
          <w:color w:val="auto"/>
        </w:rPr>
        <w:t>GENERAL RISK FACTORS</w:t>
      </w:r>
    </w:p>
    <w:p>
      <w:pPr>
        <w:spacing w:after="0" w:line="17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3"/>
          <w:szCs w:val="13"/>
          <w:b w:val="1"/>
          <w:bCs w:val="1"/>
          <w:color w:val="auto"/>
        </w:rPr>
        <w:t>We rely on information systems to conduct our business, and failure to protect these systems against security breaches could have a material adverse impact on our business, financial condition, results of operations, cash flows and ability to pay cash dividends and service or refinance our debt.</w:t>
      </w:r>
    </w:p>
    <w:p>
      <w:pPr>
        <w:spacing w:after="0" w:line="112"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The efficient operation of our business is dependent on information technology systems and networks, which are provided by our Managers. Our operations could be targeted by individuals or groups seeking to sabotage or disrupt our information technology systems and networks, or to steal data. A successful cyber-attack could materially disrupt our operations, including the safety or operation of our vessels, or lead to unauthorized release of information or alteration of information on our systems. Any such attack or other breach of our information technology systems could have a material adverse impact on our business, financial condition, results of operations, cash flows and ability to pay cash dividends and service or refinance our debt.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We could be adversely affected by violations of the U.S. Foreign Corrupt Practices Act, the U.K. Bribery Act and anti-corruption laws in other applicable jurisdictions.</w:t>
      </w:r>
    </w:p>
    <w:p>
      <w:pPr>
        <w:spacing w:after="0" w:line="172"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As an international shipping company, we have operated and may operate in countries known to have a reputation for corruption. The U.S. Foreign Corrupt Practices Act of 1977 (the “FCPA”) and other anti-corruption laws and regulations in applicable jurisdictions generally prohibit companies registered with the U.S. Securities and Exchange Commission (the “SEC”) and their intermediaries from making improper payments to government officials for the purpose of obtaining or retaining business. Under the FCPA, companies registered with the SEC may be held liable for some actions taken by strategic or local partners or representatives. Legislation in other countries includes the U.K. Bribery Act, which became effective on July 1, 2011 and which is broader in scope than the FCPA.</w:t>
      </w:r>
    </w:p>
    <w:p>
      <w:pPr>
        <w:spacing w:after="0" w:line="131"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We and our charterers may be subject to these and similar anti-corruption laws in other applicable jurisdictions. Failure to comply with such legal requirements could expose us to civil and/or criminal penalties, including fines, prosecution and significant reputational damage, all of which could materially and adversely affect our business, including our relationships with our charterers, results of operations, cash flows and ability to pay cash dividends and service or refinance our debt. Compliance with the FCPA, the U.K. Bribery Act and other applicable anti-corruption laws and related regulations and policies imposes potentially significant costs and operational burdens. Moreover, the compliance and monitoring mechanisms that we have in place, including our Code of Business Conduct and Ethics, which incorporates our anti-bribery and anti-corruption policy, may not adequately prevent or detect possible violations under applicable anti-bribery and anti-corruption legislation.</w:t>
      </w:r>
    </w:p>
    <w:p>
      <w:pPr>
        <w:spacing w:after="0" w:line="133"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The United States has recently taken steps to temporarily pause enforcement of the FCPA for a period of 180 days and to assess and then adopt revised guidelines or policies governing investigations and enforcement actions under the FCPA. The Department of Justice subsequently issued the Criminal Division’s updated Guidelines for Investigations and Enforcement for the Foreign Corrupt Practices Act (FCPA) (“FCPA Enforcement Guidelines”) on June 9, 2025, thus announcing an early end to the enforcement pause. The FCPA Enforcement Guidelines emphasize that enforcement will align with U.S. economic interests and national security.</w:t>
      </w:r>
    </w:p>
    <w:p>
      <w:pPr>
        <w:spacing w:after="0" w:line="131"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43</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44" w:name="page45"/>
    <w:bookmarkEnd w:id="44"/>
    <w:p>
      <w:pPr>
        <w:jc w:val="both"/>
        <w:spacing w:after="0" w:line="269" w:lineRule="auto"/>
        <w:rPr>
          <w:sz w:val="20"/>
          <w:szCs w:val="20"/>
          <w:color w:val="auto"/>
        </w:rPr>
      </w:pPr>
      <w:r>
        <w:rPr>
          <w:rFonts w:ascii="Times New Roman" w:cs="Times New Roman" w:eastAsia="Times New Roman" w:hAnsi="Times New Roman"/>
          <w:sz w:val="13"/>
          <w:szCs w:val="13"/>
          <w:b w:val="1"/>
          <w:bCs w:val="1"/>
          <w:color w:val="auto"/>
        </w:rPr>
        <w:t>We have incurred, and may continue to incur significant costs in complying with the requirements of the U.S. Sarbanes-Oxley Act of 2002. If management is unable to continue to provide reports as to the effectiveness of our internal control over financial reporting or our independent registered public accounting firm is unable to continue to provide us with unqualified attestation reports as to the effectiveness of our internal control over financial reporting, investors could lose confidence in the reliability of our financial statements, which could result in a decrease in the value of our common shares. We anticipate that we will continue to incur incremental general and administrative expenses as a publicly traded corporation.</w:t>
      </w:r>
    </w:p>
    <w:p>
      <w:pPr>
        <w:spacing w:after="0" w:line="130"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As a publicly traded corporation, we are required to comply with the SEC’s reporting requirements and with corporate governance and related requirements of the U.S. Sarbanes-Oxley Act of 2002, the SEC and the Nasdaq Global Select Market (“Nasdaq”), on which our common shares are listed. Section 404 of the U.S. Sarbanes-Oxley Act of 2002 (“SOX 404”) requires that we evaluate and determine the effectiveness of our internal control over financial reporting on an annual basis and include in our reports filed with the SEC our management’s assessment of the effectiveness of our internal control over financial reporting and a related attestation of our independent registered public accounting firm. Capital Ship Management provides substantially all of our financial reporting and we depend on the procedures they have in place. If, in such future annual reports on Form 20-F, our management cannot provide a report as to the effectiveness of our internal control over financial reporting or our independent registered public accounting firm is unable to provide us with an unqualified attestation report as to the effectiveness of our internal control over financial reporting as required by SOX 404, investors could lose confidence in the reliability of our financial statements, which could result in a decrease in the value of our common shares.</w:t>
      </w:r>
    </w:p>
    <w:p>
      <w:pPr>
        <w:spacing w:after="0" w:line="135"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We have and expect we will continue to have to dedicate a significant amount of time and resources to ensure compliance with the regulatory requirements of SOX 404. We will continue to work with our legal, accounting and financial advisors to identify any areas in which changes should be made to our financial and management control systems to manage our growth and our obligations as a public company. However, these and other measures we may take may not be sufficient to allow us to satisfy our obligations as a public company on a timely and reliable basis. If we have a material weakness in our internal control over financial reporting, we may not detect errors on a timely basis and our financial statements may be materially misstated. We have incurred and will continue to incur legal, accounting and other expenses in complying with these and other applicable regulations.</w:t>
      </w:r>
    </w:p>
    <w:p>
      <w:pPr>
        <w:spacing w:after="0" w:line="133"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We anticipate that our incremental general and administrative expenses as a publicly traded corporation will include costs associated with annual reports to shareholders, tax returns, investor relations, registrar and transfer agent’s fees, incremental director and officer liability insurance costs and director compensation.</w:t>
      </w:r>
    </w:p>
    <w:p>
      <w:pPr>
        <w:spacing w:after="0" w:line="114"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44</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3"/>
          <w:szCs w:val="13"/>
          <w:b w:val="1"/>
          <w:bCs w:val="1"/>
          <w:color w:val="auto"/>
        </w:rPr>
        <w:t>RISKS INHERENT IN AN INVESTMENT IN US</w:t>
      </w:r>
    </w:p>
    <w:p>
      <w:pPr>
        <w:spacing w:after="0" w:line="17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3"/>
          <w:szCs w:val="13"/>
          <w:b w:val="1"/>
          <w:bCs w:val="1"/>
          <w:color w:val="auto"/>
        </w:rPr>
        <w:t>A significant number of our common shares are held by the Marinakis family, including Mr. Evangelos M. Marinakis and Mr. Miltiadis E. Marinakis. The Marinakis family, and any other affiliates of Capital Maritime &amp; Trading Corp., may favor their own interests in any vote by our shareholders.</w:t>
      </w:r>
    </w:p>
    <w:p>
      <w:pPr>
        <w:spacing w:after="0" w:line="11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As of the date of this Annual Report, the Marinakis family, including Mr. Evangelos M. Marinakis and Mr. Miltiadis E. Marinakis, may be deemed to beneficially own, in aggregate, 58.6% of the outstanding common shares of the Company (based on 60,113,445 common shares outstanding and excluding 871,061 common shares held in treasury), through Mr. Evangelos M. Marinakis’ beneficial ownership of Capital Maritime and Mr. Miltiadis E. Marinakis’ beneficial ownership of CGP LLC and Capital Gas.</w:t>
      </w:r>
    </w:p>
    <w:p>
      <w:pPr>
        <w:spacing w:after="0" w:line="127"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The Capital Parties have entered into the Shareholders’ Agreement with us, which sets forth certain governance rights and other matters with respect to us. Pursuant to the Shareholders’ Agreement, until Capital Maritime and its affiliates cease to own at least 25% of the outstanding common shares, Capital Maritime and its affiliates will have the right to nominate three out of the eight directors to our board of directors. If the holdings of Capital Maritime and its affiliates fall below 25% but remain above 15% of the outstanding common shares, Capital Maritime and its affiliates thereafter will have the right to nominate two out of eight directors. If the holdings of Capital Maritime and its affiliates fall below 15% but remain above 5% of the outstanding common shares, Capital Maritime and its affiliates thereafter will have the right to nominate one out of eight directors. If the holdings of Capital Maritime and its affiliates fall below 5%, Capital Maritime thereafter will no longer have any rights to nominate directors.</w:t>
      </w:r>
    </w:p>
    <w:p>
      <w:pPr>
        <w:spacing w:after="0" w:line="133"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The Marinakis family, including Mr. Evangelos M. Marinakis and Mr. Miltiadis E. Marinakis, have considerable influence on our corporate affairs and actions. For so long as the Marinakis family continues to beneficially own a majority of the outstanding common shares, then it will have enhanced rights to direct our affairs, including the ability to form a quorum at a meeting of shareholders and to approve certain acts of shareholders that require only a vote of a majority of shareholders present in person or by proxy at such meeting. The interests of other holders of our common shares may differ from the interests of the Marinakis family. Capital Maritime and its affiliates, including the Marinakis family, may favor their own interests in any vote by our shareholders.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We cannot assure you that we will pay any dividends on our common shares.</w:t>
      </w:r>
    </w:p>
    <w:p>
      <w:pPr>
        <w:spacing w:after="0" w:line="172" w:lineRule="exact"/>
        <w:rPr>
          <w:sz w:val="20"/>
          <w:szCs w:val="20"/>
          <w:color w:val="auto"/>
        </w:rPr>
      </w:pPr>
    </w:p>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Declaration and payment of any dividend is subject to the discretion of our board of directors. Our dividend policy may be changed at any time, and from time to time, by the board of directors. The timing and amount of dividend payments to holders of our shares will depend on, among other things, shipping market developments and the charter rates we are able to negotiate when we charter our vessels, our cash earnings, financial condition and cash requirements, and could be affected by a variety of factors, including increased or unanticipated expenses, the loss of a vessel, required capital expenditures, reserves established by the board of directors, refinancing or repayment of debt, additional borrowings, compliance with the covenants in our financing arrangements, our anticipated future cost of capital, access to financing and equity and debt capital markets, including for the purposes of refinancing or repaying existing debt, asset valuations, other factors described in our filings with the SEC from time to time and the applicable provisions of Marshall Islands law.</w:t>
      </w:r>
    </w:p>
    <w:p>
      <w:pPr>
        <w:spacing w:after="0" w:line="135"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Our ability to pay cash dividends is also limited under Marshall Islands law. The Marshall Islands Business Corporations Act (the “MIBCA”) generally prohibits the declaration and payment of dividends other than from surplus (but in case there is no surplus, dividends may be declared or paid out of the net profits for the fiscal year in which the dividend is declared and for the preceding fiscal year) or while we are insolvent or if we would be made insolvent upon paying the dividend, or if the declaration or payment would be contrary to any restrictions contained in our Articles of Incorporation.</w:t>
      </w:r>
    </w:p>
    <w:p>
      <w:pPr>
        <w:spacing w:after="0" w:line="127"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45</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46" w:name="page47"/>
    <w:bookmarkEnd w:id="46"/>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The amount of cash we generate from our operations may differ materially from our profit or loss for the period, which will be affected by non-cash items. As a result, we might not pay dividends in certain periods even if we were to record a positive net income in those periods. Conversely, we may pay dividends during periods when we record losses.</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In light of the factors described elsewhere in this Annual Report, there can be no assurance that we will pay any dividends on our common shares.</w:t>
      </w:r>
    </w:p>
    <w:p>
      <w:pPr>
        <w:spacing w:after="0" w:line="16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3"/>
          <w:szCs w:val="13"/>
          <w:b w:val="1"/>
          <w:bCs w:val="1"/>
          <w:color w:val="auto"/>
        </w:rPr>
        <w:t>Negative media coverage and public and judicial scrutiny relating to Mr. Evangelos M. Marinakis may adversely affect our reputation and operations, investor confidence and the trading price of our common shares.</w:t>
      </w:r>
    </w:p>
    <w:p>
      <w:pPr>
        <w:spacing w:after="0" w:line="11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Mr. Evangelos M. Marinakis is the chairman of Capital Maritime. In addition, as of the date of this Annual Report, the Marinakis family, including Mr. Evangelos M. Marinakis and Mr. Miltiadis E. Marinakis, may be deemed to beneficially own, in aggregate, 58.6% of the outstanding common shares of the Company (based on 60,113,445 common shares outstanding and excluding 871,061 common shares held in treasury), through Mr. Evangelos M. Marinakis’ beneficial ownership of Capital Maritime and Mr. Miltiadis E. Marinakis’ beneficial ownership of CGP LLC and Capital Gas.</w:t>
      </w:r>
    </w:p>
    <w:p>
      <w:pPr>
        <w:spacing w:after="0" w:line="127"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Mr. Evangelos M. Marinakis holds significant other interests in Greece and abroad. Among other things, Mr. Marinakis is the principal owner among others, of Olympiacos, a Greek professional football team, and the Nottingham Forest Football Club in England. Mr. Marinakis also owns the Greek media company Alter Ego Media S.A.</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Mr. Marinakis has been the subject of intense and at times negative media scrutiny in Greece and abroad and has been from time to time, and still is, the subject of judicial proceedings.</w:t>
      </w:r>
    </w:p>
    <w:p>
      <w:pPr>
        <w:spacing w:after="0" w:line="170"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Given the relationships of Mr. Marinakis and certain members of his family with Capital Maritime and us described above, any past or future negative media coverage, public and judicial scrutiny or criminal proceedings in relation to Mr. Marinakis, regardless of the factual basis for the assertions being made or the final outcome of any investigation or proceeding, may affect the reputation and operations of Capital Maritime, as well as our reputation and operations. Such coverage, scrutiny and proceedings may also adversely impact investor confidence and the trading price of our common shares.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Capital Maritime and its affiliates may compete with us.</w:t>
      </w:r>
    </w:p>
    <w:p>
      <w:pPr>
        <w:spacing w:after="0" w:line="172" w:lineRule="exact"/>
        <w:rPr>
          <w:sz w:val="20"/>
          <w:szCs w:val="20"/>
          <w:color w:val="auto"/>
        </w:rPr>
      </w:pPr>
    </w:p>
    <w:p>
      <w:pPr>
        <w:jc w:val="both"/>
        <w:ind w:firstLine="479"/>
        <w:spacing w:after="0" w:line="231" w:lineRule="auto"/>
        <w:rPr>
          <w:sz w:val="20"/>
          <w:szCs w:val="20"/>
          <w:color w:val="auto"/>
        </w:rPr>
      </w:pPr>
      <w:r>
        <w:rPr>
          <w:rFonts w:ascii="Times New Roman" w:cs="Times New Roman" w:eastAsia="Times New Roman" w:hAnsi="Times New Roman"/>
          <w:sz w:val="13"/>
          <w:szCs w:val="13"/>
          <w:color w:val="auto"/>
        </w:rPr>
        <w:t>Pursuant to the Umbrella Agreement, Capital Maritime granted the Company certain rights of first refusal over (i) transfers of LNG/C vessels owned by Capital Maritime to third parties, opportunities to order newbuild LNG/C vessels of which Capital Maritime becomes aware and employment opportunities for LNG/C vessels of which Capital Maritime becomes aware and (ii) transfers to third parties of two certain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carriers (which the Company has subsequently agreed to acquire as part of the Gas Fleet) and two certain ammonia carriers recently ordered by Capital Maritime and employment opportunities for such vessels. Please read “Item 4. Information on the Company—A. History and Development of the Company—Developments in 2024” for further information on the rights of first refusal granted by Capital Maritime pursuant to the Umbrella Agreement.</w:t>
      </w:r>
    </w:p>
    <w:p>
      <w:pPr>
        <w:spacing w:after="0" w:line="1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However, Capital Maritime and its controlled affiliates still have significant ability to compete with us, which could harm our business.</w:t>
      </w:r>
    </w:p>
    <w:p>
      <w:pPr>
        <w:spacing w:after="0" w:line="170"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In the Articles of Incorporation we renounced, to the fullest extent permitted by law, any interest or expectancy in, or right to be offered an opportunity to participate in, any business opportunity which may be a corporate opportunity for Capital Maritime or any of its affiliates (the “Identified Persons”) and us or our affiliates.</w:t>
      </w:r>
    </w:p>
    <w:p>
      <w:pPr>
        <w:spacing w:after="0" w:line="114"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46</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47" w:name="page48"/>
    <w:bookmarkEnd w:id="47"/>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We did not renounce our interest in any corporate opportunity (a) offered to any Identified Person if (i) such opportunity is expressly offered to such Identified Person solely in their capacity as a director or officer of ours, (ii) such Identified Person believed that we possessed, or would reasonably be expected to be able to possess, the resources necessary to exploit such opportunity and (iii) we or our subsidiaries are directly engaged in such business at the time such opportunity is offered to such Identified Person or (b) required to be offered to the us pursuant to the Umbrella Agreement.</w:t>
      </w:r>
    </w:p>
    <w:p>
      <w:pPr>
        <w:spacing w:after="0" w:line="12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3"/>
          <w:szCs w:val="13"/>
          <w:b w:val="1"/>
          <w:bCs w:val="1"/>
          <w:color w:val="auto"/>
        </w:rPr>
        <w:t>We currently rely, and expect to continue to rely, solely on the services of officers provided to us pursuant to our executive services agreement with CGP LLC and who face conflicts in the allocation of their time to our business.</w:t>
      </w:r>
    </w:p>
    <w:p>
      <w:pPr>
        <w:spacing w:after="0" w:line="11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Our board of directors has appointed officers of the Company who provide services to us pursuant to the Executive Services Agreement. These officers are not required to work full-time on our affairs and may also work for Capital Maritime and/or its affiliates. For example, our Chief Executive Officer, Chief Financial Officer and Chief Commercial Officer are also executive officers or employees of Capital Maritime, Capital Ship Management and/or their respective affiliates. Capital Maritime and our Managers each conduct substantial businesses and activities of their own in which we have no economic interest.</w:t>
      </w:r>
    </w:p>
    <w:p>
      <w:pPr>
        <w:spacing w:after="0" w:line="127"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As a result, there could be material competition for the time and effort of our officers who also provide services to Capital Maritime, our Managers and/or their respective affiliates, which could have a material adverse effect on our business, financial condition, results of operations, cash flows and ability to pay cash dividends and service or refinance our debt.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Articles of Incorporation and Bylaws contain provisions that may have the effect of discouraging, delaying or preventing a change of control or the removal of our current management.</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Our Articles of Incorporation and Bylaws contain provisions that may have the effect of discouraging, delaying or preventing a change of control, including a transaction that shareholders may consider favorable, or the removal of our current management. These provisions:</w:t>
      </w:r>
    </w:p>
    <w:p>
      <w:pPr>
        <w:spacing w:after="0" w:line="114" w:lineRule="exact"/>
        <w:rPr>
          <w:sz w:val="20"/>
          <w:szCs w:val="20"/>
          <w:color w:val="auto"/>
        </w:rPr>
      </w:pPr>
    </w:p>
    <w:p>
      <w:pPr>
        <w:ind w:left="960" w:hanging="481"/>
        <w:spacing w:after="0"/>
        <w:tabs>
          <w:tab w:leader="none" w:pos="960" w:val="left"/>
        </w:tabs>
        <w:numPr>
          <w:ilvl w:val="0"/>
          <w:numId w:val="2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authorize our board of directors to issue “blank check” preferred shares without shareholder approval;</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2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limit the persons who may call special meetings of shareholders;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2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establish advance notice requirements for nominations for election to our board of directors or for proposing matters that can be acted on by shareholders at meetings of shareholders; and</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2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prohibit us from engaging in a business combination with an interested shareholder for a period of three years following the time such shareholder became an interested shareholder, unless:</w:t>
      </w:r>
    </w:p>
    <w:p>
      <w:pPr>
        <w:spacing w:after="0" w:line="169" w:lineRule="exact"/>
        <w:rPr>
          <w:rFonts w:ascii="Arial" w:cs="Arial" w:eastAsia="Arial" w:hAnsi="Arial"/>
          <w:sz w:val="13"/>
          <w:szCs w:val="13"/>
          <w:b w:val="1"/>
          <w:bCs w:val="1"/>
          <w:color w:val="auto"/>
        </w:rPr>
      </w:pPr>
    </w:p>
    <w:p>
      <w:pPr>
        <w:ind w:left="1440" w:hanging="482"/>
        <w:spacing w:after="0"/>
        <w:tabs>
          <w:tab w:leader="none" w:pos="1440" w:val="left"/>
        </w:tabs>
        <w:numPr>
          <w:ilvl w:val="1"/>
          <w:numId w:val="2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prior to such time, our board of directors approved either the business combination or the transaction which resulted in the shareholder becoming an interested shareholder;</w:t>
      </w:r>
    </w:p>
    <w:p>
      <w:pPr>
        <w:spacing w:after="0" w:line="169" w:lineRule="exact"/>
        <w:rPr>
          <w:rFonts w:ascii="Arial" w:cs="Arial" w:eastAsia="Arial" w:hAnsi="Arial"/>
          <w:sz w:val="13"/>
          <w:szCs w:val="13"/>
          <w:b w:val="1"/>
          <w:bCs w:val="1"/>
          <w:color w:val="auto"/>
        </w:rPr>
      </w:pPr>
    </w:p>
    <w:p>
      <w:pPr>
        <w:ind w:left="1440" w:hanging="482"/>
        <w:spacing w:after="0" w:line="292" w:lineRule="auto"/>
        <w:tabs>
          <w:tab w:leader="none" w:pos="1440" w:val="left"/>
        </w:tabs>
        <w:numPr>
          <w:ilvl w:val="1"/>
          <w:numId w:val="2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upon consummation of the transaction which resulted in the shareholder becoming an interested shareholder, the interested shareholder owned at least 85% of our shares entitled to vote in the election of directors outstanding at the time the transaction commenced; or</w:t>
      </w:r>
    </w:p>
    <w:p>
      <w:pPr>
        <w:spacing w:after="0" w:line="115"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47</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48" w:name="page49"/>
    <w:bookmarkEnd w:id="48"/>
    <w:p>
      <w:pPr>
        <w:jc w:val="both"/>
        <w:ind w:left="1440" w:hanging="482"/>
        <w:spacing w:after="0"/>
        <w:tabs>
          <w:tab w:leader="none" w:pos="1440" w:val="left"/>
        </w:tabs>
        <w:numPr>
          <w:ilvl w:val="0"/>
          <w:numId w:val="2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at or subsequent to such time the business combination is approved by our board of directors and authorized at an annual or special meeting of shareholders, and not by written consent, by the affirmative vote of at least 66-</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3"/>
          <w:szCs w:val="13"/>
          <w:color w:val="auto"/>
        </w:rPr>
        <w:t>⁄</w:t>
      </w:r>
      <w:r>
        <w:rPr>
          <w:rFonts w:ascii="Times New Roman" w:cs="Times New Roman" w:eastAsia="Times New Roman" w:hAnsi="Times New Roman"/>
          <w:sz w:val="22"/>
          <w:szCs w:val="22"/>
          <w:color w:val="auto"/>
          <w:vertAlign w:val="subscript"/>
        </w:rPr>
        <w:t>3</w:t>
      </w:r>
      <w:r>
        <w:rPr>
          <w:rFonts w:ascii="Times New Roman" w:cs="Times New Roman" w:eastAsia="Times New Roman" w:hAnsi="Times New Roman"/>
          <w:sz w:val="13"/>
          <w:szCs w:val="13"/>
          <w:color w:val="auto"/>
        </w:rPr>
        <w:t>% of the outstanding shares entitled to vote in the election of directors which are not owned by the interested shareholder, its affiliates or its associates.</w:t>
      </w:r>
    </w:p>
    <w:p>
      <w:pPr>
        <w:spacing w:after="0" w:line="276"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Generally, an “interested shareholder” means any person (other than us and our subsidiaries) that is the owner of 15% or more of our shares entitled to vote in the election of directors, but excludes any such holder immediately upon the Effective Date, including the Capital Parties.</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One effect of these provisions may be to affect the market price of our common shares.</w:t>
      </w:r>
    </w:p>
    <w:p>
      <w:pPr>
        <w:spacing w:after="0" w:line="168"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3"/>
          <w:szCs w:val="13"/>
          <w:b w:val="1"/>
          <w:bCs w:val="1"/>
          <w:color w:val="auto"/>
        </w:rPr>
        <w:t>Future sales of our common shares, including pursuant to our “at the market offering” program or as a result of the exercise of registration rights by certain of our shareholders, or the issuance of preferred shares, debt securities or warrants, could cause the market price of our common shares to decline.</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market price of our common shares could decline due to sales of a large number of shares, or the issuance of debt securities or warrants, in the market, or the perception that these sales could occur.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These sales could also make it more difficult or impossible for us to sell equity securities in the future at a time and price that we deem appropriate to raise funds through future offerings of such equity securities.</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issuance by us of additional shares or other equity securities of equal or senior rank may have the following effects:</w:t>
      </w:r>
    </w:p>
    <w:p>
      <w:pPr>
        <w:spacing w:after="0" w:line="170" w:lineRule="exact"/>
        <w:rPr>
          <w:sz w:val="20"/>
          <w:szCs w:val="20"/>
          <w:color w:val="auto"/>
        </w:rPr>
      </w:pPr>
    </w:p>
    <w:p>
      <w:pPr>
        <w:ind w:left="960" w:hanging="481"/>
        <w:spacing w:after="0"/>
        <w:tabs>
          <w:tab w:leader="none" w:pos="960" w:val="left"/>
        </w:tabs>
        <w:numPr>
          <w:ilvl w:val="0"/>
          <w:numId w:val="3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our shareholders’ proportionate ownership interest in us will decrease;</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3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earnings per share and the per share amount of cash available for dividends on our shares could decrease;</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3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relative voting power of each previously outstanding share may be diminished;</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3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market price of the shares may decline; and</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3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our ability to raise capital through the sale of additional securities at a time and price that we deem appropriate, could be impaired.</w:t>
      </w:r>
    </w:p>
    <w:p>
      <w:pPr>
        <w:spacing w:after="0" w:line="171" w:lineRule="exact"/>
        <w:rPr>
          <w:sz w:val="20"/>
          <w:szCs w:val="20"/>
          <w:color w:val="auto"/>
        </w:rPr>
      </w:pPr>
    </w:p>
    <w:p>
      <w:pPr>
        <w:jc w:val="both"/>
        <w:ind w:firstLine="479"/>
        <w:spacing w:after="0"/>
        <w:rPr>
          <w:sz w:val="20"/>
          <w:szCs w:val="20"/>
          <w:color w:val="auto"/>
        </w:rPr>
      </w:pPr>
      <w:r>
        <w:rPr>
          <w:rFonts w:ascii="Times New Roman" w:cs="Times New Roman" w:eastAsia="Times New Roman" w:hAnsi="Times New Roman"/>
          <w:sz w:val="13"/>
          <w:szCs w:val="13"/>
          <w:color w:val="auto"/>
        </w:rPr>
        <w:t>On January 27, 2025, we entered into an Open Market Sales Agreement</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3"/>
          <w:szCs w:val="13"/>
          <w:color w:val="auto"/>
        </w:rPr>
        <w:t xml:space="preserve"> (the “Sales Agreement”) with Jefferies LLC (“Jefferies”) under which we may offer and sell up to $75,000,000 of our shares from time to time through or to Jefferies acting as sales agent or principal. Sales of our common shares, if any, pursuant to the Sales Agreement will be made by any method that is deemed to be an “at the market offering” as defined in Rule 415(a)(4) under the Securities Act. We cannot assure you at what price the offering of our shares in the future, if any, will be made but they may be offered and sold at a price significantly below the current trading price of our shares or the acquisition price of shares by shareholders and may be at a discount to the trading price of our shares at the time of such sale. Purchasers of the shares we sell, as well as our existing shareholders, will experience significant dilution if we sell shares at prices significantly below the price at which they invested. Holders of our shares have no preemptive rights that entitle such holders to purchase their pro rata share of any offering of shares of any class or series and, therefore, such sales or offerings could result in increased dilution to our shareholders. During the year ended December 31, 2025, we issued 9,466 new common shares pursuant to the Sales Agreement, resulting in net proceeds of $0.2 million after the payment of commission to Jefferies, but before offering expenses.</w:t>
      </w:r>
    </w:p>
    <w:p>
      <w:pPr>
        <w:spacing w:after="0" w:line="316"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48</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46" w:right="319" w:bottom="1440" w:gutter="0" w:footer="0" w:header="0"/>
        </w:sectPr>
      </w:pPr>
    </w:p>
    <w:bookmarkStart w:id="49" w:name="page50"/>
    <w:bookmarkEnd w:id="49"/>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In addition, we have entered into the Registration Rights Agreement with the Capital Parties and other parties, providing them with certain registration rights, including “demand” and “piggyback” registration rights with respect to the common shares. Sales of a substantial number of common shares pursuant to the Registration Rights Agreement could adversely affect the market price for the common shares and could impair our future ability to raise capital through an offering of our common shares.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organization as a corporation under the laws of the Republic of the Marshall Islands may limit the ability of our shareholders to protect their interests.</w:t>
      </w:r>
    </w:p>
    <w:p>
      <w:pPr>
        <w:spacing w:after="0" w:line="17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Our affairs are governed by our Articles of Incorporation, our Bylaws and the MIBCA. The provisions of the MIBCA resemble provisions of the business corporation laws of a number of states in the United States, most notably Delaware. The MIBCA also provides that, as it relates to nonresident corporation, such as us, it shall be applied and construed to make the laws of the Marshall Islands, with respect to the subject matter of the MIBCA, uniform with the laws of the State of Delaware and other states of the United States with substantially similar provisions, and that insofar as it does not conflict with the MIBCA, the non-statutory law (or case law) of the State of Delaware and such other states with substantially similar legislative provisions is adopted as the law of the Marshall Islands. However, there have been few judicial cases in the Republic of the Marshall Islands interpreting the MIBCA. For example, the rights and fiduciary responsibilities of directors and officers under the laws of the Republic of the Marshall Islands are not as clearly established as the rights and fiduciary responsibilities of directors and officers under statutes or judicial precedent in existence in certain U.S. jurisdictions. Although the MIBCA does specifically incorporate the non-conflicting non-statutory law, or judicial case law, of the State of Delaware and other states of the United States with substantially similar legislative provisions, our public shareholders may have more difficulty in protecting their interests in the face of actions by management, directors or controlling shareholders than would shareholders of a corporation organized in a U.S. jurisdiction.</w:t>
      </w:r>
    </w:p>
    <w:p>
      <w:pPr>
        <w:spacing w:after="0" w:line="29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3"/>
          <w:szCs w:val="13"/>
          <w:b w:val="1"/>
          <w:bCs w:val="1"/>
          <w:color w:val="auto"/>
        </w:rPr>
        <w:t>As a Marshall Islands corporation with principal executive offices in Greece and having subsidiaries in the Marshall Islands and other offshore jurisdictions such as Liberia, our operations may be subject to economic substance requirements, which could harm our business.</w:t>
      </w:r>
    </w:p>
    <w:p>
      <w:pPr>
        <w:spacing w:after="0" w:line="112" w:lineRule="exact"/>
        <w:rPr>
          <w:sz w:val="20"/>
          <w:szCs w:val="20"/>
          <w:color w:val="auto"/>
        </w:rPr>
      </w:pPr>
    </w:p>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We are a Marshall Islands corporation with principal executive offices in Greece. Our subsidiaries are organized in the Marshall Islands, Liberia and Cyprus. The Marshall Islands has enacted economic substance regulations with which we may be obligated to comply. Regulations adopted in the Marshall Islands require certain entities that carry out particular activities to comply with an economic substance test whereby the entity must show that it (i) is directed and managed in the Marshall Islands in relation to that relevant activity, (ii) carries out core income-generating activity in relation to that relevant activity in the Marshall Islands (although it is being understood and acknowledged by the regulators that income-generated activities for shipping companies will generally occur in international waters) and (iii) having regard to the level of relevant activity carried out in the Marshall Islands has (a) an adequate amount of expenditures in the Marshall Islands, (b) adequate physical presence in the Marshall Islands and (c) an adequate number of qualified employees in the Marshall Islands.</w:t>
      </w:r>
    </w:p>
    <w:p>
      <w:pPr>
        <w:spacing w:after="0" w:line="135"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In addition, certain jurisdictions have enacted or may enact economic substance laws and regulations with which we may be obligated to comply. If we fail to comply with our obligations under any such laws and regulations, including the Marshall Islands regulations, we could be subject to financial penalties and disclosure of information to foreign tax officials, or could be struck from the register of companies, in related jurisdictions. Any of the foregoing could be disruptive to our business and could have a material adverse effect on our business, financial condition and operating results.</w:t>
      </w:r>
    </w:p>
    <w:p>
      <w:pPr>
        <w:spacing w:after="0" w:line="127"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49</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3"/>
          <w:szCs w:val="13"/>
          <w:b w:val="1"/>
          <w:bCs w:val="1"/>
          <w:color w:val="auto"/>
        </w:rPr>
        <w:t>It may not be possible for investors to enforce U.S. judgments against us.</w:t>
      </w:r>
    </w:p>
    <w:p>
      <w:pPr>
        <w:spacing w:after="0" w:line="172" w:lineRule="exact"/>
        <w:rPr>
          <w:sz w:val="20"/>
          <w:szCs w:val="20"/>
          <w:color w:val="auto"/>
        </w:rPr>
      </w:pPr>
    </w:p>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We are organized under the laws of the Republic of the Marshall Islands, as are most of our subsidiaries. Most of our directors and the officers of CGP LLC who provide services to us pursuant to the Executive Services Agreement, as well as most of the directors and officers of our subsidiaries, are residents of countries other than the United States. Substantially all of our assets and those of our subsidiaries are located outside the United States. As a result, it may be difficult or impossible for U.S. investors to serve process within the United States upon us or to enforce judgment upon us for civil liabilities in U.S. courts. In addition, you should not assume that courts in the countries in which we or our subsidiaries are incorporated or organized or where our assets or the assets of our subsidiaries are located (1) would enforce judgments of U.S. courts obtained in actions against us or our subsidiaries based upon the civil liability provisions of applicable U.S. federal and state securities laws or (2) would impose, in original actions, liabilities against us or our subsidiaries based upon these laws.</w:t>
      </w:r>
    </w:p>
    <w:p>
      <w:pPr>
        <w:spacing w:after="0" w:line="13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3"/>
          <w:szCs w:val="13"/>
          <w:b w:val="1"/>
          <w:bCs w:val="1"/>
          <w:color w:val="auto"/>
        </w:rPr>
        <w:t>As a “foreign private issuer”, we are exempt from certain otherwise applicable SEC and Nasdaq requirements, which may result in less protection than is accorded to investors under rules applicable to domestic U.S. issuers.</w:t>
      </w:r>
    </w:p>
    <w:p>
      <w:pPr>
        <w:spacing w:after="0" w:line="11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We are a Marshall Islands corporation. As a foreign private issuer, we are not required to comply with all of the rules that apply to listed U.S. corporation. In particular, our status as a foreign private issuer exempts us from compliance with certain SEC rules and regulations and certain of Nasdaq’s regulations, including the proxy rules, the short-swing profits recapture rule of Section 16 of the Exchange Act, certain rules relating to disclosure regarding executive compensation, and certain governance requirements such as independent director oversight over the nomination of directors and executive compensation. In addition, we are not required under the Exchange Act to file current reports and financial statements with the SEC as frequently or as promptly as U.S. domestic companies whose securities are registered under the Exchange Act and we are generally exempt from filing quarterly reports with the SEC. Although we have generally chosen to comply with most of Nasdaq’s corporate governance rules as though we were a U.S. corporation, including those relating to the independence of the members of our board of directors and its committees, we could decide not to comply with them. These exemptions and leniencies reduce the frequency and scope of information and protections to which you are otherwise entitled as an investor and perceptions about the actual or possible reduction in the frequency and scope of information and protections to which our investors are entitled could materially and adversely affect the market price of our common share.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TAX RISKS</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In addition to the following risk factors, you should read “Item 10. Additional Information—E. Taxation” below for a more detailed discussion of the expected material U.S. federal and non-U.S. income tax considerations relating to us and the ownership and disposition of our shares.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U.S. tax authorities could treat us as a “passive foreign investment company,” which could have adverse U.S. federal income tax consequences to U.S. shareholders.</w:t>
      </w:r>
    </w:p>
    <w:p>
      <w:pPr>
        <w:spacing w:after="0" w:line="172" w:lineRule="exact"/>
        <w:rPr>
          <w:sz w:val="20"/>
          <w:szCs w:val="20"/>
          <w:color w:val="auto"/>
        </w:rPr>
      </w:pPr>
    </w:p>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A foreign entity taxed as a corporation for U.S. federal income tax purposes will be treated as a “passive foreign investment company” (a “PFIC”) for U.S. federal income tax purposes if (x) at least 75% of its gross income for any taxable year consists of certain types of “passive income,” or (y) at least 50% of the average value of the entity’s assets produce or are held for the production of those types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persons who own shares of a PFIC are subject to a disadvantageous U.S. federal income tax regime with respect to the income derived by the PFIC, the distributions they receive from the PFIC, and the gain, if any, they derive from the sale or other disposition of their shares in the PFIC.</w:t>
      </w:r>
    </w:p>
    <w:p>
      <w:pPr>
        <w:spacing w:after="0" w:line="135"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50</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51" w:name="page52"/>
    <w:bookmarkEnd w:id="51"/>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Based on our current and projected method of operation, we believe that we are not currently a PFIC and we do not expect to become a PFIC in the future. We intend to treat our income from spot and time-chartering activities as non-passive income, and the vessels engaged in those activities as non-passive assets, for PFIC purposes. However, no assurance can be given that the Internal Revenue Service (the “IRS”) or a United States court will accept this position, and there is accordingly a risk that the IRS or a United States court could determine that we are a PFIC. Moreover, no assurance can be given that we would not constitute a PFIC for any future taxable year if there were to be changes in our assets, income or operations. See “Item 10. Additional Information—E. Taxation—Material U.S. Federal Income Tax Considerations—U.S. Federal Income Taxation of U.S. Holders—PFIC Status and Significant Tax Consequences.”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We may have to pay tax on United States source income, which would reduce our earnings.</w:t>
      </w:r>
    </w:p>
    <w:p>
      <w:pPr>
        <w:spacing w:after="0" w:line="172"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Under the Internal Revenue Code of 1986, as amended (the “Code”), 50% of the gross shipping income of a vessel-owning or chartering corporation that is attributable to transportation that either begins or ends, but that does not both begin and end, in the United States is characterized as U.S. source shipping income and such income generally is subject to a 4% U.S. federal income tax without allowance for deduction, unless that corporation qualifies for exemption from such tax under Section 883 of the Code. We believe that we and our controlled subsidiaries that are treated as corporations for U.S. federal income tax purposes (and which themselves comply with certain substantiation, reporting and other requirements) will qualify for this statutory tax exemption, and we will take this position for U.S. federal income tax return reporting purposes. See “Item 10. Additional Information—E. Taxation-Material U.S. Federal Income Tax Considerations—The Section 883 Exemption”. However, there are factual circumstances, including some that may be beyond our control, which could cause us to lose the benefit of this tax exemption. Therefore, we can give no assurances that the IRS will not take a different position regarding our qualification, or the qualification of any of our relevant subsidiaries, for this tax exemption.</w:t>
      </w:r>
    </w:p>
    <w:p>
      <w:pPr>
        <w:spacing w:after="0" w:line="135"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If we or our relevant subsidiaries are not entitled to this exemption under Section 883 of the Code for any taxable year, we or our relevant subsidiaries generally would be subject for those years to a 4% U.S. federal gross income tax on our U.S.-source shipping income (specifically, 50% of our gross shipping income that is attributable to transportation that either begins or ends, but that does not both begin and end, in the United States). The imposition of this taxation could have a negative effect on our business and would result in decreased earnings available for distribution to our shareholders.</w:t>
      </w:r>
    </w:p>
    <w:p>
      <w:pPr>
        <w:spacing w:after="0" w:line="12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3"/>
          <w:szCs w:val="13"/>
          <w:b w:val="1"/>
          <w:bCs w:val="1"/>
          <w:color w:val="auto"/>
        </w:rPr>
        <w:t>Our diverse lines of business may have an impact on our tax treatment in the countries in which we operate, which could result in a significant negative impact on our earnings and cash flows from operations.</w:t>
      </w:r>
    </w:p>
    <w:p>
      <w:pPr>
        <w:spacing w:after="0" w:line="11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We are an international company that conducts business throughout the world. Tax laws and regulations are highly complex and subject to interpretation. Consequently, a change in tax laws, treaties or regulations, in the interpretation thereof or in the applicability thereof in and between countries in which we operate, could result in a materially high tax expense or higher effective tax rate on our worldwide earnings, and such change could be significant to our financial results.</w:t>
      </w:r>
    </w:p>
    <w:p>
      <w:pPr>
        <w:spacing w:after="0" w:line="127"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New tax laws and regulations are currently being adopted by many jurisdictions pursuant to the Base Erosion and Profit Shifting Project (“BEPS”) to set up an international framework to combat tax avoidance. In January 2019, the Organization for Economic Co-operation and Development (the “OECD”) announced the Pillar One and Pillar Two frameworks. Pillar One reallocates certain residual profits of multinational enterprises to market jurisdictions where goods or services are used or consumed. Pillar Two, also referred to as the Global Anti-Base Erosion Rules (the “GloBE Rules”), operates to impose a minimum tax rate of 15% calculated on a jurisdictional basis. More than 130 countries have signed on to the GloBE Rules released in December 2021 that, among other provisions, give the countries the right to “tax back” profit that is currently taxed below the minimum 15% rate.</w:t>
      </w:r>
    </w:p>
    <w:p>
      <w:pPr>
        <w:spacing w:after="0" w:line="133" w:lineRule="exact"/>
        <w:rPr>
          <w:sz w:val="20"/>
          <w:szCs w:val="20"/>
          <w:color w:val="auto"/>
        </w:rPr>
      </w:pPr>
    </w:p>
    <w:p>
      <w:pPr>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51</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52" w:name="page53"/>
    <w:bookmarkEnd w:id="52"/>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If any tax authority successfully challenges our operational structure or the taxable presence of our key subsidiaries in certain countries, or if the terms of certain income tax laws or treaties are interpreted in a manner that is adverse to our structure, or if we lose a material tax dispute in any country, our effective tax rate on our worldwide earnings from our operations could increase substantially and our earnings and cash flows from these operations could be materially adversely affected.</w:t>
      </w:r>
    </w:p>
    <w:p>
      <w:pPr>
        <w:spacing w:after="0" w:line="127" w:lineRule="exact"/>
        <w:rPr>
          <w:sz w:val="20"/>
          <w:szCs w:val="20"/>
          <w:color w:val="auto"/>
        </w:rPr>
      </w:pPr>
    </w:p>
    <w:p>
      <w:pPr>
        <w:jc w:val="both"/>
        <w:ind w:firstLine="479"/>
        <w:spacing w:after="0" w:line="286" w:lineRule="auto"/>
        <w:rPr>
          <w:sz w:val="20"/>
          <w:szCs w:val="20"/>
          <w:color w:val="auto"/>
        </w:rPr>
      </w:pPr>
      <w:r>
        <w:rPr>
          <w:rFonts w:ascii="Times New Roman" w:cs="Times New Roman" w:eastAsia="Times New Roman" w:hAnsi="Times New Roman"/>
          <w:sz w:val="13"/>
          <w:szCs w:val="13"/>
          <w:color w:val="auto"/>
        </w:rPr>
        <w:t>We and our subsidiaries may be subject to taxation in the jurisdictions in which we and our subsidiaries conduct business. Such taxation would result in decreased earnings. Our shareholders are encouraged to consult their own tax advisors concerning the overall tax consequences of the ownership of our shares arising in a shareholder’s particular situation under United States federal, state, local and foreign law.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4. Information on the Company.</w:t>
      </w:r>
    </w:p>
    <w:p>
      <w:pPr>
        <w:spacing w:after="0" w:line="170" w:lineRule="exact"/>
        <w:rPr>
          <w:sz w:val="20"/>
          <w:szCs w:val="20"/>
          <w:color w:val="auto"/>
        </w:rPr>
      </w:pPr>
    </w:p>
    <w:p>
      <w:pPr>
        <w:ind w:left="480" w:hanging="480"/>
        <w:spacing w:after="0"/>
        <w:tabs>
          <w:tab w:leader="none" w:pos="480" w:val="left"/>
        </w:tabs>
        <w:numPr>
          <w:ilvl w:val="0"/>
          <w:numId w:val="3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History and Development of the Company</w:t>
      </w:r>
    </w:p>
    <w:p>
      <w:pPr>
        <w:spacing w:after="0" w:line="172" w:lineRule="exact"/>
        <w:rPr>
          <w:sz w:val="20"/>
          <w:szCs w:val="20"/>
          <w:color w:val="auto"/>
        </w:rPr>
      </w:pPr>
    </w:p>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 xml:space="preserve">We were originally formed on January 16, 2007 as a limited partnership named “Capital Product Partners L.P.” under the laws of the Marshall Islands. We completed our initial public offering in April 2007. On the Effective Date, we converted into a corporation named “Capital Clean Energy Carriers Corp.” organized under the laws of the Marshall Islands. We maintain our principal executive headquarters at 3 Iassonos Street, Piraeus, 18537 Greece and our telephone number is +30 210 4584 950. Our registered address in the Marshall Islands is Trust Company Complex, Ajeltake Road, Ajeltake Island, Majuro, Marshall Islands MH96960. The name of our registered agent at such address is The Trust Company of the Marshall Islands, Inc. Our website address is </w:t>
      </w:r>
      <w:r>
        <w:rPr>
          <w:rFonts w:ascii="Times New Roman" w:cs="Times New Roman" w:eastAsia="Times New Roman" w:hAnsi="Times New Roman"/>
          <w:sz w:val="13"/>
          <w:szCs w:val="13"/>
          <w:u w:val="single" w:color="auto"/>
          <w:color w:val="auto"/>
        </w:rPr>
        <w:t>www.capitalcleanenergycarriers.com</w:t>
      </w:r>
      <w:r>
        <w:rPr>
          <w:rFonts w:ascii="Times New Roman" w:cs="Times New Roman" w:eastAsia="Times New Roman" w:hAnsi="Times New Roman"/>
          <w:sz w:val="13"/>
          <w:szCs w:val="13"/>
          <w:color w:val="auto"/>
        </w:rPr>
        <w:t xml:space="preserve">. The SEC maintains an internet website at </w:t>
      </w:r>
      <w:r>
        <w:rPr>
          <w:rFonts w:ascii="Times New Roman" w:cs="Times New Roman" w:eastAsia="Times New Roman" w:hAnsi="Times New Roman"/>
          <w:sz w:val="13"/>
          <w:szCs w:val="13"/>
          <w:u w:val="single" w:color="auto"/>
          <w:color w:val="auto"/>
        </w:rPr>
        <w:t>www.sec.gov</w:t>
      </w:r>
      <w:r>
        <w:rPr>
          <w:rFonts w:ascii="Times New Roman" w:cs="Times New Roman" w:eastAsia="Times New Roman" w:hAnsi="Times New Roman"/>
          <w:sz w:val="13"/>
          <w:szCs w:val="13"/>
          <w:color w:val="auto"/>
        </w:rPr>
        <w:t xml:space="preserve"> that contains reports and other information regarding issuers, including us, that file electronically with the SEC. The information contained on, or that can be accessed through these websites is not part of, and is not incorporated into, this Annual Report.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Developments in 2025 and up to the filing of this Annual Report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Vessel Acquisitions and Advances for Vessels Under Construction</w:t>
      </w:r>
    </w:p>
    <w:p>
      <w:pPr>
        <w:spacing w:after="0" w:line="75" w:lineRule="exact"/>
        <w:rPr>
          <w:sz w:val="20"/>
          <w:szCs w:val="20"/>
          <w:color w:val="auto"/>
        </w:rPr>
      </w:pPr>
    </w:p>
    <w:p>
      <w:pPr>
        <w:jc w:val="both"/>
        <w:ind w:firstLine="479"/>
        <w:spacing w:after="0" w:line="205" w:lineRule="auto"/>
        <w:rPr>
          <w:sz w:val="20"/>
          <w:szCs w:val="20"/>
          <w:color w:val="auto"/>
        </w:rPr>
      </w:pPr>
      <w:r>
        <w:rPr>
          <w:rFonts w:ascii="Times New Roman" w:cs="Times New Roman" w:eastAsia="Times New Roman" w:hAnsi="Times New Roman"/>
          <w:sz w:val="13"/>
          <w:szCs w:val="13"/>
          <w:color w:val="auto"/>
        </w:rPr>
        <w:t>On January 5, 2026, we took delivery of the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 HMG/C Active. The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 HMG/C Active is the first vessel in our Gas Fleet to be delivered to the Company and is the world’s first 22,000 CBM low-pressure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carrier. The vessel commenced a six-month charter transporting LPG with Geogas Trading SA (“Geogas”), with an option to extend the charter for an additional six months. The acquisition of the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 HMG/C Active was financed with $29.4 million of cash on hand and a 12-year loan of $48.9 million. The loan is repayable in 48 quarterly instalments of approximately $0.6 million, with a balloon payment of $18.0 million payable with the final instalment in December 2037. The Company may borrow an additional amount of up to $7.5 million if the vessel secures long term employment.</w:t>
      </w:r>
    </w:p>
    <w:p>
      <w:pPr>
        <w:spacing w:after="0" w:line="149"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On December 29, 2025, we announced an investment in three latest technology LNG/C vessels to be built at Hyundai for a total contract price of $769.5 million, with expected deliveries in the third quarter of 2028 and the first quarter of 2029. In addition to $37.0 million that we have paid to-date, we expect to pay an additional amount of $707.0 million to Hyundai in pre-delivery and delivery installments.</w:t>
      </w:r>
    </w:p>
    <w:p>
      <w:pPr>
        <w:spacing w:after="0" w:line="11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As of the date of this Annual Report, our Under Construction Fleet consists of nine Newbuild LNG/C Vessels and nine Gas Fleet vessels that have not yet been delivered to the Company. A summary of the vessels comprising the Under Construction Fleet is as follows:</w:t>
      </w:r>
    </w:p>
    <w:p>
      <w:pPr>
        <w:spacing w:after="0" w:line="114"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52</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4"/>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Amount paid to Capital Maritime</w:t>
            </w: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3040" w:type="dxa"/>
            <w:vAlign w:val="bottom"/>
            <w:vMerge w:val="restart"/>
          </w:tcPr>
          <w:p>
            <w:pPr>
              <w:ind w:left="1220"/>
              <w:spacing w:after="0"/>
              <w:rPr>
                <w:sz w:val="20"/>
                <w:szCs w:val="20"/>
                <w:color w:val="auto"/>
              </w:rPr>
            </w:pPr>
            <w:r>
              <w:rPr>
                <w:rFonts w:ascii="Times New Roman" w:cs="Times New Roman" w:eastAsia="Times New Roman" w:hAnsi="Times New Roman"/>
                <w:sz w:val="12"/>
                <w:szCs w:val="12"/>
                <w:b w:val="1"/>
                <w:bCs w:val="1"/>
                <w:color w:val="auto"/>
              </w:rPr>
              <w:t>Vessel Type</w:t>
            </w:r>
          </w:p>
        </w:tc>
        <w:tc>
          <w:tcPr>
            <w:tcW w:w="140" w:type="dxa"/>
            <w:vAlign w:val="bottom"/>
          </w:tcPr>
          <w:p>
            <w:pPr>
              <w:spacing w:after="0"/>
              <w:rPr>
                <w:sz w:val="11"/>
                <w:szCs w:val="11"/>
                <w:color w:val="auto"/>
              </w:rPr>
            </w:pPr>
          </w:p>
        </w:tc>
        <w:tc>
          <w:tcPr>
            <w:tcW w:w="1880" w:type="dxa"/>
            <w:vAlign w:val="bottom"/>
            <w:vMerge w:val="restart"/>
          </w:tcPr>
          <w:p>
            <w:pPr>
              <w:ind w:left="720"/>
              <w:spacing w:after="0"/>
              <w:rPr>
                <w:sz w:val="20"/>
                <w:szCs w:val="20"/>
                <w:color w:val="auto"/>
              </w:rPr>
            </w:pPr>
            <w:r>
              <w:rPr>
                <w:rFonts w:ascii="Times New Roman" w:cs="Times New Roman" w:eastAsia="Times New Roman" w:hAnsi="Times New Roman"/>
                <w:sz w:val="12"/>
                <w:szCs w:val="12"/>
                <w:b w:val="1"/>
                <w:bCs w:val="1"/>
                <w:color w:val="auto"/>
              </w:rPr>
              <w:t>Hull No.</w:t>
            </w:r>
          </w:p>
        </w:tc>
        <w:tc>
          <w:tcPr>
            <w:tcW w:w="140" w:type="dxa"/>
            <w:vAlign w:val="bottom"/>
          </w:tcPr>
          <w:p>
            <w:pPr>
              <w:spacing w:after="0"/>
              <w:rPr>
                <w:sz w:val="11"/>
                <w:szCs w:val="11"/>
                <w:color w:val="auto"/>
              </w:rPr>
            </w:pPr>
          </w:p>
        </w:tc>
        <w:tc>
          <w:tcPr>
            <w:tcW w:w="1900" w:type="dxa"/>
            <w:vAlign w:val="bottom"/>
            <w:vMerge w:val="restart"/>
          </w:tcPr>
          <w:p>
            <w:pPr>
              <w:ind w:left="820"/>
              <w:spacing w:after="0"/>
              <w:rPr>
                <w:sz w:val="20"/>
                <w:szCs w:val="20"/>
                <w:color w:val="auto"/>
              </w:rPr>
            </w:pPr>
            <w:r>
              <w:rPr>
                <w:rFonts w:ascii="Times New Roman" w:cs="Times New Roman" w:eastAsia="Times New Roman" w:hAnsi="Times New Roman"/>
                <w:sz w:val="12"/>
                <w:szCs w:val="12"/>
                <w:b w:val="1"/>
                <w:bCs w:val="1"/>
                <w:color w:val="auto"/>
              </w:rPr>
              <w:t>CBM</w:t>
            </w:r>
          </w:p>
        </w:tc>
        <w:tc>
          <w:tcPr>
            <w:tcW w:w="140" w:type="dxa"/>
            <w:vAlign w:val="bottom"/>
          </w:tcPr>
          <w:p>
            <w:pPr>
              <w:spacing w:after="0"/>
              <w:rPr>
                <w:sz w:val="11"/>
                <w:szCs w:val="11"/>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Estimated Delivery Date</w:t>
            </w:r>
          </w:p>
        </w:tc>
        <w:tc>
          <w:tcPr>
            <w:tcW w:w="140" w:type="dxa"/>
            <w:vAlign w:val="bottom"/>
          </w:tcPr>
          <w:p>
            <w:pPr>
              <w:spacing w:after="0"/>
              <w:rPr>
                <w:sz w:val="11"/>
                <w:szCs w:val="11"/>
                <w:color w:val="auto"/>
              </w:rPr>
            </w:pPr>
          </w:p>
        </w:tc>
        <w:tc>
          <w:tcPr>
            <w:tcW w:w="1940" w:type="dxa"/>
            <w:vAlign w:val="bottom"/>
            <w:gridSpan w:val="4"/>
          </w:tcPr>
          <w:p>
            <w:pPr>
              <w:jc w:val="center"/>
              <w:ind w:right="80"/>
              <w:spacing w:after="0" w:line="133" w:lineRule="exact"/>
              <w:rPr>
                <w:sz w:val="20"/>
                <w:szCs w:val="20"/>
                <w:color w:val="auto"/>
              </w:rPr>
            </w:pPr>
            <w:r>
              <w:rPr>
                <w:rFonts w:ascii="Times New Roman" w:cs="Times New Roman" w:eastAsia="Times New Roman" w:hAnsi="Times New Roman"/>
                <w:sz w:val="12"/>
                <w:szCs w:val="12"/>
                <w:b w:val="1"/>
                <w:bCs w:val="1"/>
                <w:color w:val="auto"/>
                <w:w w:val="99"/>
              </w:rPr>
              <w:t>and/or Shipyard (in millions of</w:t>
            </w: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3040" w:type="dxa"/>
            <w:vAlign w:val="bottom"/>
            <w:tcBorders>
              <w:bottom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1880" w:type="dxa"/>
            <w:vAlign w:val="bottom"/>
            <w:tcBorders>
              <w:bottom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1900" w:type="dxa"/>
            <w:vAlign w:val="bottom"/>
            <w:tcBorders>
              <w:bottom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1900" w:type="dxa"/>
            <w:vAlign w:val="bottom"/>
            <w:tcBorders>
              <w:bottom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Borders>
              <w:bottom w:val="single" w:sz="8" w:color="auto"/>
            </w:tcBorders>
          </w:tcPr>
          <w:p>
            <w:pPr>
              <w:ind w:left="340"/>
              <w:spacing w:after="0" w:line="110" w:lineRule="exact"/>
              <w:rPr>
                <w:sz w:val="20"/>
                <w:szCs w:val="20"/>
                <w:color w:val="auto"/>
              </w:rPr>
            </w:pPr>
            <w:r>
              <w:rPr>
                <w:rFonts w:ascii="Times New Roman" w:cs="Times New Roman" w:eastAsia="Times New Roman" w:hAnsi="Times New Roman"/>
                <w:sz w:val="12"/>
                <w:szCs w:val="12"/>
                <w:b w:val="1"/>
                <w:bCs w:val="1"/>
                <w:color w:val="auto"/>
              </w:rPr>
              <w:t>United States</w:t>
            </w:r>
          </w:p>
        </w:tc>
        <w:tc>
          <w:tcPr>
            <w:tcW w:w="660" w:type="dxa"/>
            <w:vAlign w:val="bottom"/>
            <w:tcBorders>
              <w:top w:val="single" w:sz="8" w:color="auto"/>
              <w:bottom w:val="single" w:sz="8" w:color="auto"/>
            </w:tcBorders>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Dollars)*</w:t>
            </w:r>
          </w:p>
        </w:tc>
        <w:tc>
          <w:tcPr>
            <w:tcW w:w="1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60" w:type="dxa"/>
            <w:vAlign w:val="bottom"/>
            <w:shd w:val="clear" w:color="auto" w:fill="CCEEFF"/>
          </w:tcPr>
          <w:p>
            <w:pPr>
              <w:spacing w:after="0"/>
              <w:rPr>
                <w:sz w:val="13"/>
                <w:szCs w:val="13"/>
                <w:color w:val="auto"/>
              </w:rPr>
            </w:pPr>
          </w:p>
        </w:tc>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Liquefied Natural Gas Carrier</w:t>
            </w:r>
          </w:p>
        </w:tc>
        <w:tc>
          <w:tcPr>
            <w:tcW w:w="2020" w:type="dxa"/>
            <w:vAlign w:val="bottom"/>
            <w:gridSpan w:val="2"/>
            <w:shd w:val="clear" w:color="auto" w:fill="CCEEFF"/>
          </w:tcPr>
          <w:p>
            <w:pPr>
              <w:jc w:val="center"/>
              <w:ind w:left="73"/>
              <w:spacing w:after="0"/>
              <w:rPr>
                <w:sz w:val="20"/>
                <w:szCs w:val="20"/>
                <w:color w:val="auto"/>
              </w:rPr>
            </w:pPr>
            <w:r>
              <w:rPr>
                <w:rFonts w:ascii="Times New Roman" w:cs="Times New Roman" w:eastAsia="Times New Roman" w:hAnsi="Times New Roman"/>
                <w:sz w:val="13"/>
                <w:szCs w:val="13"/>
                <w:color w:val="auto"/>
              </w:rPr>
              <w:t>8198</w:t>
            </w:r>
          </w:p>
        </w:tc>
        <w:tc>
          <w:tcPr>
            <w:tcW w:w="2040" w:type="dxa"/>
            <w:vAlign w:val="bottom"/>
            <w:gridSpan w:val="2"/>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rPr>
              <w:t>174,000</w:t>
            </w:r>
          </w:p>
        </w:tc>
        <w:tc>
          <w:tcPr>
            <w:tcW w:w="140" w:type="dxa"/>
            <w:vAlign w:val="bottom"/>
            <w:shd w:val="clear" w:color="auto" w:fill="CCEEFF"/>
          </w:tcPr>
          <w:p>
            <w:pPr>
              <w:spacing w:after="0"/>
              <w:rPr>
                <w:sz w:val="13"/>
                <w:szCs w:val="13"/>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Jun-2026</w:t>
            </w:r>
          </w:p>
        </w:tc>
        <w:tc>
          <w:tcPr>
            <w:tcW w:w="2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Liquefied Natural Gas Carrier</w:t>
            </w:r>
          </w:p>
        </w:tc>
        <w:tc>
          <w:tcPr>
            <w:tcW w:w="2020" w:type="dxa"/>
            <w:vAlign w:val="bottom"/>
            <w:gridSpan w:val="2"/>
          </w:tcPr>
          <w:p>
            <w:pPr>
              <w:jc w:val="center"/>
              <w:ind w:left="73"/>
              <w:spacing w:after="0"/>
              <w:rPr>
                <w:sz w:val="20"/>
                <w:szCs w:val="20"/>
                <w:color w:val="auto"/>
              </w:rPr>
            </w:pPr>
            <w:r>
              <w:rPr>
                <w:rFonts w:ascii="Times New Roman" w:cs="Times New Roman" w:eastAsia="Times New Roman" w:hAnsi="Times New Roman"/>
                <w:sz w:val="13"/>
                <w:szCs w:val="13"/>
                <w:color w:val="auto"/>
              </w:rPr>
              <w:t>8199</w:t>
            </w:r>
          </w:p>
        </w:tc>
        <w:tc>
          <w:tcPr>
            <w:tcW w:w="2040" w:type="dxa"/>
            <w:vAlign w:val="bottom"/>
            <w:gridSpan w:val="2"/>
          </w:tcPr>
          <w:p>
            <w:pPr>
              <w:jc w:val="center"/>
              <w:ind w:left="93"/>
              <w:spacing w:after="0"/>
              <w:rPr>
                <w:sz w:val="20"/>
                <w:szCs w:val="20"/>
                <w:color w:val="auto"/>
              </w:rPr>
            </w:pPr>
            <w:r>
              <w:rPr>
                <w:rFonts w:ascii="Times New Roman" w:cs="Times New Roman" w:eastAsia="Times New Roman" w:hAnsi="Times New Roman"/>
                <w:sz w:val="13"/>
                <w:szCs w:val="13"/>
                <w:color w:val="auto"/>
              </w:rPr>
              <w:t>174,000</w:t>
            </w:r>
          </w:p>
        </w:tc>
        <w:tc>
          <w:tcPr>
            <w:tcW w:w="14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Jun-26</w:t>
            </w: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 w:type="dxa"/>
            <w:vAlign w:val="bottom"/>
            <w:shd w:val="clear" w:color="auto" w:fill="CCEEFF"/>
          </w:tcPr>
          <w:p>
            <w:pPr>
              <w:spacing w:after="0"/>
              <w:rPr>
                <w:sz w:val="13"/>
                <w:szCs w:val="13"/>
                <w:color w:val="auto"/>
              </w:rPr>
            </w:pPr>
          </w:p>
        </w:tc>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Liquefied Natural Gas Carrier</w:t>
            </w:r>
          </w:p>
        </w:tc>
        <w:tc>
          <w:tcPr>
            <w:tcW w:w="2020" w:type="dxa"/>
            <w:vAlign w:val="bottom"/>
            <w:gridSpan w:val="2"/>
            <w:shd w:val="clear" w:color="auto" w:fill="CCEEFF"/>
          </w:tcPr>
          <w:p>
            <w:pPr>
              <w:jc w:val="center"/>
              <w:ind w:left="73"/>
              <w:spacing w:after="0"/>
              <w:rPr>
                <w:sz w:val="20"/>
                <w:szCs w:val="20"/>
                <w:color w:val="auto"/>
              </w:rPr>
            </w:pPr>
            <w:r>
              <w:rPr>
                <w:rFonts w:ascii="Times New Roman" w:cs="Times New Roman" w:eastAsia="Times New Roman" w:hAnsi="Times New Roman"/>
                <w:sz w:val="13"/>
                <w:szCs w:val="13"/>
                <w:color w:val="auto"/>
              </w:rPr>
              <w:t>8202</w:t>
            </w:r>
          </w:p>
        </w:tc>
        <w:tc>
          <w:tcPr>
            <w:tcW w:w="2040" w:type="dxa"/>
            <w:vAlign w:val="bottom"/>
            <w:gridSpan w:val="2"/>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rPr>
              <w:t>174,000</w:t>
            </w:r>
          </w:p>
        </w:tc>
        <w:tc>
          <w:tcPr>
            <w:tcW w:w="140" w:type="dxa"/>
            <w:vAlign w:val="bottom"/>
            <w:shd w:val="clear" w:color="auto" w:fill="CCEEFF"/>
          </w:tcPr>
          <w:p>
            <w:pPr>
              <w:spacing w:after="0"/>
              <w:rPr>
                <w:sz w:val="13"/>
                <w:szCs w:val="13"/>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Jul-26</w:t>
            </w:r>
          </w:p>
        </w:tc>
        <w:tc>
          <w:tcPr>
            <w:tcW w:w="2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Liquefied Natural Gas Carrier</w:t>
            </w:r>
          </w:p>
        </w:tc>
        <w:tc>
          <w:tcPr>
            <w:tcW w:w="2020" w:type="dxa"/>
            <w:vAlign w:val="bottom"/>
            <w:gridSpan w:val="2"/>
          </w:tcPr>
          <w:p>
            <w:pPr>
              <w:jc w:val="center"/>
              <w:ind w:left="73"/>
              <w:spacing w:after="0"/>
              <w:rPr>
                <w:sz w:val="20"/>
                <w:szCs w:val="20"/>
                <w:color w:val="auto"/>
              </w:rPr>
            </w:pPr>
            <w:r>
              <w:rPr>
                <w:rFonts w:ascii="Times New Roman" w:cs="Times New Roman" w:eastAsia="Times New Roman" w:hAnsi="Times New Roman"/>
                <w:sz w:val="13"/>
                <w:szCs w:val="13"/>
                <w:color w:val="auto"/>
              </w:rPr>
              <w:t>8203</w:t>
            </w:r>
          </w:p>
        </w:tc>
        <w:tc>
          <w:tcPr>
            <w:tcW w:w="2040" w:type="dxa"/>
            <w:vAlign w:val="bottom"/>
            <w:gridSpan w:val="2"/>
          </w:tcPr>
          <w:p>
            <w:pPr>
              <w:jc w:val="center"/>
              <w:ind w:left="93"/>
              <w:spacing w:after="0"/>
              <w:rPr>
                <w:sz w:val="20"/>
                <w:szCs w:val="20"/>
                <w:color w:val="auto"/>
              </w:rPr>
            </w:pPr>
            <w:r>
              <w:rPr>
                <w:rFonts w:ascii="Times New Roman" w:cs="Times New Roman" w:eastAsia="Times New Roman" w:hAnsi="Times New Roman"/>
                <w:sz w:val="13"/>
                <w:szCs w:val="13"/>
                <w:color w:val="auto"/>
              </w:rPr>
              <w:t>174,000</w:t>
            </w:r>
          </w:p>
        </w:tc>
        <w:tc>
          <w:tcPr>
            <w:tcW w:w="14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Nov-26</w:t>
            </w: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113.3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 w:type="dxa"/>
            <w:vAlign w:val="bottom"/>
            <w:shd w:val="clear" w:color="auto" w:fill="CCEEFF"/>
          </w:tcPr>
          <w:p>
            <w:pPr>
              <w:spacing w:after="0"/>
              <w:rPr>
                <w:sz w:val="13"/>
                <w:szCs w:val="13"/>
                <w:color w:val="auto"/>
              </w:rPr>
            </w:pPr>
          </w:p>
        </w:tc>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Liquefied Natural Gas Carrier</w:t>
            </w:r>
          </w:p>
        </w:tc>
        <w:tc>
          <w:tcPr>
            <w:tcW w:w="2020" w:type="dxa"/>
            <w:vAlign w:val="bottom"/>
            <w:gridSpan w:val="2"/>
            <w:shd w:val="clear" w:color="auto" w:fill="CCEEFF"/>
          </w:tcPr>
          <w:p>
            <w:pPr>
              <w:jc w:val="center"/>
              <w:ind w:left="73"/>
              <w:spacing w:after="0"/>
              <w:rPr>
                <w:sz w:val="20"/>
                <w:szCs w:val="20"/>
                <w:color w:val="auto"/>
              </w:rPr>
            </w:pPr>
            <w:r>
              <w:rPr>
                <w:rFonts w:ascii="Times New Roman" w:cs="Times New Roman" w:eastAsia="Times New Roman" w:hAnsi="Times New Roman"/>
                <w:sz w:val="13"/>
                <w:szCs w:val="13"/>
                <w:color w:val="auto"/>
              </w:rPr>
              <w:t>8206</w:t>
            </w:r>
          </w:p>
        </w:tc>
        <w:tc>
          <w:tcPr>
            <w:tcW w:w="2040" w:type="dxa"/>
            <w:vAlign w:val="bottom"/>
            <w:gridSpan w:val="2"/>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rPr>
              <w:t>174,000</w:t>
            </w:r>
          </w:p>
        </w:tc>
        <w:tc>
          <w:tcPr>
            <w:tcW w:w="140" w:type="dxa"/>
            <w:vAlign w:val="bottom"/>
            <w:shd w:val="clear" w:color="auto" w:fill="CCEEFF"/>
          </w:tcPr>
          <w:p>
            <w:pPr>
              <w:spacing w:after="0"/>
              <w:rPr>
                <w:sz w:val="13"/>
                <w:szCs w:val="13"/>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Feb-27</w:t>
            </w:r>
          </w:p>
        </w:tc>
        <w:tc>
          <w:tcPr>
            <w:tcW w:w="2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Liquefied Natural Gas Carrier</w:t>
            </w:r>
          </w:p>
        </w:tc>
        <w:tc>
          <w:tcPr>
            <w:tcW w:w="2020" w:type="dxa"/>
            <w:vAlign w:val="bottom"/>
            <w:gridSpan w:val="2"/>
          </w:tcPr>
          <w:p>
            <w:pPr>
              <w:jc w:val="center"/>
              <w:ind w:left="73"/>
              <w:spacing w:after="0"/>
              <w:rPr>
                <w:sz w:val="20"/>
                <w:szCs w:val="20"/>
                <w:color w:val="auto"/>
              </w:rPr>
            </w:pPr>
            <w:r>
              <w:rPr>
                <w:rFonts w:ascii="Times New Roman" w:cs="Times New Roman" w:eastAsia="Times New Roman" w:hAnsi="Times New Roman"/>
                <w:sz w:val="13"/>
                <w:szCs w:val="13"/>
                <w:color w:val="auto"/>
              </w:rPr>
              <w:t>8207</w:t>
            </w:r>
          </w:p>
        </w:tc>
        <w:tc>
          <w:tcPr>
            <w:tcW w:w="2040" w:type="dxa"/>
            <w:vAlign w:val="bottom"/>
            <w:gridSpan w:val="2"/>
          </w:tcPr>
          <w:p>
            <w:pPr>
              <w:jc w:val="center"/>
              <w:ind w:left="93"/>
              <w:spacing w:after="0"/>
              <w:rPr>
                <w:sz w:val="20"/>
                <w:szCs w:val="20"/>
                <w:color w:val="auto"/>
              </w:rPr>
            </w:pPr>
            <w:r>
              <w:rPr>
                <w:rFonts w:ascii="Times New Roman" w:cs="Times New Roman" w:eastAsia="Times New Roman" w:hAnsi="Times New Roman"/>
                <w:sz w:val="13"/>
                <w:szCs w:val="13"/>
                <w:color w:val="auto"/>
              </w:rPr>
              <w:t>174,000</w:t>
            </w:r>
          </w:p>
        </w:tc>
        <w:tc>
          <w:tcPr>
            <w:tcW w:w="14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Mar-27</w:t>
            </w: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81.8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 w:type="dxa"/>
            <w:vAlign w:val="bottom"/>
            <w:shd w:val="clear" w:color="auto" w:fill="CCEEFF"/>
          </w:tcPr>
          <w:p>
            <w:pPr>
              <w:spacing w:after="0"/>
              <w:rPr>
                <w:sz w:val="13"/>
                <w:szCs w:val="13"/>
                <w:color w:val="auto"/>
              </w:rPr>
            </w:pPr>
          </w:p>
        </w:tc>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Liquefied Natural Gas Carrier</w:t>
            </w:r>
          </w:p>
        </w:tc>
        <w:tc>
          <w:tcPr>
            <w:tcW w:w="2020" w:type="dxa"/>
            <w:vAlign w:val="bottom"/>
            <w:gridSpan w:val="2"/>
            <w:shd w:val="clear" w:color="auto" w:fill="CCEEFF"/>
          </w:tcPr>
          <w:p>
            <w:pPr>
              <w:jc w:val="center"/>
              <w:ind w:left="73"/>
              <w:spacing w:after="0"/>
              <w:rPr>
                <w:sz w:val="20"/>
                <w:szCs w:val="20"/>
                <w:color w:val="auto"/>
              </w:rPr>
            </w:pPr>
            <w:r>
              <w:rPr>
                <w:rFonts w:ascii="Times New Roman" w:cs="Times New Roman" w:eastAsia="Times New Roman" w:hAnsi="Times New Roman"/>
                <w:sz w:val="13"/>
                <w:szCs w:val="13"/>
                <w:color w:val="auto"/>
              </w:rPr>
              <w:t>8327</w:t>
            </w:r>
          </w:p>
        </w:tc>
        <w:tc>
          <w:tcPr>
            <w:tcW w:w="2040" w:type="dxa"/>
            <w:vAlign w:val="bottom"/>
            <w:gridSpan w:val="2"/>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rPr>
              <w:t>174,000</w:t>
            </w:r>
          </w:p>
        </w:tc>
        <w:tc>
          <w:tcPr>
            <w:tcW w:w="140" w:type="dxa"/>
            <w:vAlign w:val="bottom"/>
            <w:shd w:val="clear" w:color="auto" w:fill="CCEEFF"/>
          </w:tcPr>
          <w:p>
            <w:pPr>
              <w:spacing w:after="0"/>
              <w:rPr>
                <w:sz w:val="13"/>
                <w:szCs w:val="13"/>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Aug-28</w:t>
            </w:r>
          </w:p>
        </w:tc>
        <w:tc>
          <w:tcPr>
            <w:tcW w:w="2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Liquefied Natural Gas Carrier</w:t>
            </w:r>
          </w:p>
        </w:tc>
        <w:tc>
          <w:tcPr>
            <w:tcW w:w="2020" w:type="dxa"/>
            <w:vAlign w:val="bottom"/>
            <w:gridSpan w:val="2"/>
          </w:tcPr>
          <w:p>
            <w:pPr>
              <w:jc w:val="center"/>
              <w:ind w:left="73"/>
              <w:spacing w:after="0"/>
              <w:rPr>
                <w:sz w:val="20"/>
                <w:szCs w:val="20"/>
                <w:color w:val="auto"/>
              </w:rPr>
            </w:pPr>
            <w:r>
              <w:rPr>
                <w:rFonts w:ascii="Times New Roman" w:cs="Times New Roman" w:eastAsia="Times New Roman" w:hAnsi="Times New Roman"/>
                <w:sz w:val="13"/>
                <w:szCs w:val="13"/>
                <w:color w:val="auto"/>
              </w:rPr>
              <w:t>8328</w:t>
            </w:r>
          </w:p>
        </w:tc>
        <w:tc>
          <w:tcPr>
            <w:tcW w:w="2040" w:type="dxa"/>
            <w:vAlign w:val="bottom"/>
            <w:gridSpan w:val="2"/>
          </w:tcPr>
          <w:p>
            <w:pPr>
              <w:jc w:val="center"/>
              <w:ind w:left="93"/>
              <w:spacing w:after="0"/>
              <w:rPr>
                <w:sz w:val="20"/>
                <w:szCs w:val="20"/>
                <w:color w:val="auto"/>
              </w:rPr>
            </w:pPr>
            <w:r>
              <w:rPr>
                <w:rFonts w:ascii="Times New Roman" w:cs="Times New Roman" w:eastAsia="Times New Roman" w:hAnsi="Times New Roman"/>
                <w:sz w:val="13"/>
                <w:szCs w:val="13"/>
                <w:color w:val="auto"/>
              </w:rPr>
              <w:t>174,000</w:t>
            </w:r>
          </w:p>
        </w:tc>
        <w:tc>
          <w:tcPr>
            <w:tcW w:w="14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Jan-29</w:t>
            </w: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 w:type="dxa"/>
            <w:vAlign w:val="bottom"/>
            <w:shd w:val="clear" w:color="auto" w:fill="CCEEFF"/>
          </w:tcPr>
          <w:p>
            <w:pPr>
              <w:spacing w:after="0"/>
              <w:rPr>
                <w:sz w:val="13"/>
                <w:szCs w:val="13"/>
                <w:color w:val="auto"/>
              </w:rPr>
            </w:pPr>
          </w:p>
        </w:tc>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Liquefied Natural Gas Carrier</w:t>
            </w:r>
          </w:p>
        </w:tc>
        <w:tc>
          <w:tcPr>
            <w:tcW w:w="2020" w:type="dxa"/>
            <w:vAlign w:val="bottom"/>
            <w:gridSpan w:val="2"/>
            <w:shd w:val="clear" w:color="auto" w:fill="CCEEFF"/>
          </w:tcPr>
          <w:p>
            <w:pPr>
              <w:jc w:val="center"/>
              <w:ind w:left="73"/>
              <w:spacing w:after="0"/>
              <w:rPr>
                <w:sz w:val="20"/>
                <w:szCs w:val="20"/>
                <w:color w:val="auto"/>
              </w:rPr>
            </w:pPr>
            <w:r>
              <w:rPr>
                <w:rFonts w:ascii="Times New Roman" w:cs="Times New Roman" w:eastAsia="Times New Roman" w:hAnsi="Times New Roman"/>
                <w:sz w:val="13"/>
                <w:szCs w:val="13"/>
                <w:color w:val="auto"/>
              </w:rPr>
              <w:t>8329</w:t>
            </w:r>
          </w:p>
        </w:tc>
        <w:tc>
          <w:tcPr>
            <w:tcW w:w="2040" w:type="dxa"/>
            <w:vAlign w:val="bottom"/>
            <w:gridSpan w:val="2"/>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rPr>
              <w:t>174,000</w:t>
            </w:r>
          </w:p>
        </w:tc>
        <w:tc>
          <w:tcPr>
            <w:tcW w:w="140" w:type="dxa"/>
            <w:vAlign w:val="bottom"/>
            <w:shd w:val="clear" w:color="auto" w:fill="CCEEFF"/>
          </w:tcPr>
          <w:p>
            <w:pPr>
              <w:spacing w:after="0"/>
              <w:rPr>
                <w:sz w:val="13"/>
                <w:szCs w:val="13"/>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Feb-29</w:t>
            </w:r>
          </w:p>
        </w:tc>
        <w:tc>
          <w:tcPr>
            <w:tcW w:w="2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Medium Gas Carrier</w:t>
            </w:r>
          </w:p>
        </w:tc>
        <w:tc>
          <w:tcPr>
            <w:tcW w:w="2020" w:type="dxa"/>
            <w:vAlign w:val="bottom"/>
            <w:gridSpan w:val="2"/>
          </w:tcPr>
          <w:p>
            <w:pPr>
              <w:jc w:val="center"/>
              <w:ind w:left="73"/>
              <w:spacing w:after="0"/>
              <w:rPr>
                <w:sz w:val="20"/>
                <w:szCs w:val="20"/>
                <w:color w:val="auto"/>
              </w:rPr>
            </w:pPr>
            <w:r>
              <w:rPr>
                <w:rFonts w:ascii="Times New Roman" w:cs="Times New Roman" w:eastAsia="Times New Roman" w:hAnsi="Times New Roman"/>
                <w:sz w:val="13"/>
                <w:szCs w:val="13"/>
                <w:color w:val="auto"/>
              </w:rPr>
              <w:t>8424</w:t>
            </w:r>
          </w:p>
        </w:tc>
        <w:tc>
          <w:tcPr>
            <w:tcW w:w="2040" w:type="dxa"/>
            <w:vAlign w:val="bottom"/>
            <w:gridSpan w:val="2"/>
          </w:tcPr>
          <w:p>
            <w:pPr>
              <w:jc w:val="center"/>
              <w:ind w:left="93"/>
              <w:spacing w:after="0"/>
              <w:rPr>
                <w:sz w:val="20"/>
                <w:szCs w:val="20"/>
                <w:color w:val="auto"/>
              </w:rPr>
            </w:pPr>
            <w:r>
              <w:rPr>
                <w:rFonts w:ascii="Times New Roman" w:cs="Times New Roman" w:eastAsia="Times New Roman" w:hAnsi="Times New Roman"/>
                <w:sz w:val="13"/>
                <w:szCs w:val="13"/>
                <w:color w:val="auto"/>
              </w:rPr>
              <w:t>45,000</w:t>
            </w:r>
          </w:p>
        </w:tc>
        <w:tc>
          <w:tcPr>
            <w:tcW w:w="14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Jun-26</w:t>
            </w: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 w:type="dxa"/>
            <w:vAlign w:val="bottom"/>
            <w:shd w:val="clear" w:color="auto" w:fill="CCEEFF"/>
          </w:tcPr>
          <w:p>
            <w:pPr>
              <w:spacing w:after="0"/>
              <w:rPr>
                <w:sz w:val="13"/>
                <w:szCs w:val="13"/>
                <w:color w:val="auto"/>
              </w:rPr>
            </w:pPr>
          </w:p>
        </w:tc>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Medium Gas Carrier</w:t>
            </w:r>
          </w:p>
        </w:tc>
        <w:tc>
          <w:tcPr>
            <w:tcW w:w="2020" w:type="dxa"/>
            <w:vAlign w:val="bottom"/>
            <w:gridSpan w:val="2"/>
            <w:shd w:val="clear" w:color="auto" w:fill="CCEEFF"/>
          </w:tcPr>
          <w:p>
            <w:pPr>
              <w:jc w:val="center"/>
              <w:ind w:left="73"/>
              <w:spacing w:after="0"/>
              <w:rPr>
                <w:sz w:val="20"/>
                <w:szCs w:val="20"/>
                <w:color w:val="auto"/>
              </w:rPr>
            </w:pPr>
            <w:r>
              <w:rPr>
                <w:rFonts w:ascii="Times New Roman" w:cs="Times New Roman" w:eastAsia="Times New Roman" w:hAnsi="Times New Roman"/>
                <w:sz w:val="13"/>
                <w:szCs w:val="13"/>
                <w:color w:val="auto"/>
              </w:rPr>
              <w:t>8425</w:t>
            </w:r>
          </w:p>
        </w:tc>
        <w:tc>
          <w:tcPr>
            <w:tcW w:w="2040" w:type="dxa"/>
            <w:vAlign w:val="bottom"/>
            <w:gridSpan w:val="2"/>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rPr>
              <w:t>45,000</w:t>
            </w:r>
          </w:p>
        </w:tc>
        <w:tc>
          <w:tcPr>
            <w:tcW w:w="140" w:type="dxa"/>
            <w:vAlign w:val="bottom"/>
            <w:shd w:val="clear" w:color="auto" w:fill="CCEEFF"/>
          </w:tcPr>
          <w:p>
            <w:pPr>
              <w:spacing w:after="0"/>
              <w:rPr>
                <w:sz w:val="13"/>
                <w:szCs w:val="13"/>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Sep-26</w:t>
            </w:r>
          </w:p>
        </w:tc>
        <w:tc>
          <w:tcPr>
            <w:tcW w:w="2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Medium Gas Carrier</w:t>
            </w:r>
          </w:p>
        </w:tc>
        <w:tc>
          <w:tcPr>
            <w:tcW w:w="2020" w:type="dxa"/>
            <w:vAlign w:val="bottom"/>
            <w:gridSpan w:val="2"/>
          </w:tcPr>
          <w:p>
            <w:pPr>
              <w:jc w:val="center"/>
              <w:ind w:left="73"/>
              <w:spacing w:after="0"/>
              <w:rPr>
                <w:sz w:val="20"/>
                <w:szCs w:val="20"/>
                <w:color w:val="auto"/>
              </w:rPr>
            </w:pPr>
            <w:r>
              <w:rPr>
                <w:rFonts w:ascii="Times New Roman" w:cs="Times New Roman" w:eastAsia="Times New Roman" w:hAnsi="Times New Roman"/>
                <w:sz w:val="13"/>
                <w:szCs w:val="13"/>
                <w:color w:val="auto"/>
              </w:rPr>
              <w:t>8426</w:t>
            </w:r>
          </w:p>
        </w:tc>
        <w:tc>
          <w:tcPr>
            <w:tcW w:w="2040" w:type="dxa"/>
            <w:vAlign w:val="bottom"/>
            <w:gridSpan w:val="2"/>
          </w:tcPr>
          <w:p>
            <w:pPr>
              <w:jc w:val="center"/>
              <w:ind w:left="93"/>
              <w:spacing w:after="0"/>
              <w:rPr>
                <w:sz w:val="20"/>
                <w:szCs w:val="20"/>
                <w:color w:val="auto"/>
              </w:rPr>
            </w:pPr>
            <w:r>
              <w:rPr>
                <w:rFonts w:ascii="Times New Roman" w:cs="Times New Roman" w:eastAsia="Times New Roman" w:hAnsi="Times New Roman"/>
                <w:sz w:val="13"/>
                <w:szCs w:val="13"/>
                <w:color w:val="auto"/>
              </w:rPr>
              <w:t>45,000</w:t>
            </w:r>
          </w:p>
        </w:tc>
        <w:tc>
          <w:tcPr>
            <w:tcW w:w="14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Feb-27</w:t>
            </w: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 w:type="dxa"/>
            <w:vAlign w:val="bottom"/>
            <w:shd w:val="clear" w:color="auto" w:fill="CCEEFF"/>
          </w:tcPr>
          <w:p>
            <w:pPr>
              <w:spacing w:after="0"/>
              <w:rPr>
                <w:sz w:val="13"/>
                <w:szCs w:val="13"/>
                <w:color w:val="auto"/>
              </w:rPr>
            </w:pPr>
          </w:p>
        </w:tc>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Medium Gas Carrier</w:t>
            </w:r>
          </w:p>
        </w:tc>
        <w:tc>
          <w:tcPr>
            <w:tcW w:w="2020" w:type="dxa"/>
            <w:vAlign w:val="bottom"/>
            <w:gridSpan w:val="2"/>
            <w:shd w:val="clear" w:color="auto" w:fill="CCEEFF"/>
          </w:tcPr>
          <w:p>
            <w:pPr>
              <w:jc w:val="center"/>
              <w:ind w:left="73"/>
              <w:spacing w:after="0"/>
              <w:rPr>
                <w:sz w:val="20"/>
                <w:szCs w:val="20"/>
                <w:color w:val="auto"/>
              </w:rPr>
            </w:pPr>
            <w:r>
              <w:rPr>
                <w:rFonts w:ascii="Times New Roman" w:cs="Times New Roman" w:eastAsia="Times New Roman" w:hAnsi="Times New Roman"/>
                <w:sz w:val="13"/>
                <w:szCs w:val="13"/>
                <w:color w:val="auto"/>
              </w:rPr>
              <w:t>8427</w:t>
            </w:r>
          </w:p>
        </w:tc>
        <w:tc>
          <w:tcPr>
            <w:tcW w:w="2040" w:type="dxa"/>
            <w:vAlign w:val="bottom"/>
            <w:gridSpan w:val="2"/>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rPr>
              <w:t>45,000</w:t>
            </w:r>
          </w:p>
        </w:tc>
        <w:tc>
          <w:tcPr>
            <w:tcW w:w="140" w:type="dxa"/>
            <w:vAlign w:val="bottom"/>
            <w:shd w:val="clear" w:color="auto" w:fill="CCEEFF"/>
          </w:tcPr>
          <w:p>
            <w:pPr>
              <w:spacing w:after="0"/>
              <w:rPr>
                <w:sz w:val="13"/>
                <w:szCs w:val="13"/>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May-27</w:t>
            </w:r>
          </w:p>
        </w:tc>
        <w:tc>
          <w:tcPr>
            <w:tcW w:w="2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Medium Gas Carrier</w:t>
            </w:r>
          </w:p>
        </w:tc>
        <w:tc>
          <w:tcPr>
            <w:tcW w:w="14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S1111</w:t>
            </w:r>
          </w:p>
        </w:tc>
        <w:tc>
          <w:tcPr>
            <w:tcW w:w="2040" w:type="dxa"/>
            <w:vAlign w:val="bottom"/>
            <w:gridSpan w:val="2"/>
          </w:tcPr>
          <w:p>
            <w:pPr>
              <w:jc w:val="center"/>
              <w:ind w:left="93"/>
              <w:spacing w:after="0"/>
              <w:rPr>
                <w:sz w:val="20"/>
                <w:szCs w:val="20"/>
                <w:color w:val="auto"/>
              </w:rPr>
            </w:pPr>
            <w:r>
              <w:rPr>
                <w:rFonts w:ascii="Times New Roman" w:cs="Times New Roman" w:eastAsia="Times New Roman" w:hAnsi="Times New Roman"/>
                <w:sz w:val="13"/>
                <w:szCs w:val="13"/>
                <w:color w:val="auto"/>
              </w:rPr>
              <w:t>40,000</w:t>
            </w:r>
          </w:p>
        </w:tc>
        <w:tc>
          <w:tcPr>
            <w:tcW w:w="14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Mar-27</w:t>
            </w: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 w:type="dxa"/>
            <w:vAlign w:val="bottom"/>
            <w:shd w:val="clear" w:color="auto" w:fill="CCEEFF"/>
          </w:tcPr>
          <w:p>
            <w:pPr>
              <w:spacing w:after="0"/>
              <w:rPr>
                <w:sz w:val="13"/>
                <w:szCs w:val="13"/>
                <w:color w:val="auto"/>
              </w:rPr>
            </w:pPr>
          </w:p>
        </w:tc>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Medium Gas Carrier</w:t>
            </w:r>
          </w:p>
        </w:tc>
        <w:tc>
          <w:tcPr>
            <w:tcW w:w="140" w:type="dxa"/>
            <w:vAlign w:val="bottom"/>
            <w:shd w:val="clear" w:color="auto" w:fill="CCEEFF"/>
          </w:tcPr>
          <w:p>
            <w:pPr>
              <w:spacing w:after="0"/>
              <w:rPr>
                <w:sz w:val="13"/>
                <w:szCs w:val="13"/>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S1112</w:t>
            </w:r>
          </w:p>
        </w:tc>
        <w:tc>
          <w:tcPr>
            <w:tcW w:w="2040" w:type="dxa"/>
            <w:vAlign w:val="bottom"/>
            <w:gridSpan w:val="2"/>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rPr>
              <w:t>40,000</w:t>
            </w:r>
          </w:p>
        </w:tc>
        <w:tc>
          <w:tcPr>
            <w:tcW w:w="140" w:type="dxa"/>
            <w:vAlign w:val="bottom"/>
            <w:shd w:val="clear" w:color="auto" w:fill="CCEEFF"/>
          </w:tcPr>
          <w:p>
            <w:pPr>
              <w:spacing w:after="0"/>
              <w:rPr>
                <w:sz w:val="13"/>
                <w:szCs w:val="13"/>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Jul-27</w:t>
            </w:r>
          </w:p>
        </w:tc>
        <w:tc>
          <w:tcPr>
            <w:tcW w:w="2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3040" w:type="dxa"/>
            <w:vAlign w:val="bottom"/>
          </w:tcPr>
          <w:p>
            <w:pPr>
              <w:ind w:left="20"/>
              <w:spacing w:after="0" w:line="170" w:lineRule="exact"/>
              <w:rPr>
                <w:sz w:val="20"/>
                <w:szCs w:val="20"/>
                <w:color w:val="auto"/>
              </w:rPr>
            </w:pPr>
            <w:r>
              <w:rPr>
                <w:rFonts w:ascii="Times New Roman" w:cs="Times New Roman" w:eastAsia="Times New Roman" w:hAnsi="Times New Roman"/>
                <w:sz w:val="12"/>
                <w:szCs w:val="12"/>
                <w:color w:val="auto"/>
              </w:rPr>
              <w:t>LCO</w:t>
            </w:r>
            <w:r>
              <w:rPr>
                <w:rFonts w:ascii="Times New Roman" w:cs="Times New Roman" w:eastAsia="Times New Roman" w:hAnsi="Times New Roman"/>
                <w:sz w:val="19"/>
                <w:szCs w:val="19"/>
                <w:color w:val="auto"/>
                <w:vertAlign w:val="subscript"/>
              </w:rPr>
              <w:t>2</w:t>
            </w:r>
            <w:r>
              <w:rPr>
                <w:rFonts w:ascii="Times New Roman" w:cs="Times New Roman" w:eastAsia="Times New Roman" w:hAnsi="Times New Roman"/>
                <w:sz w:val="12"/>
                <w:szCs w:val="12"/>
                <w:color w:val="auto"/>
              </w:rPr>
              <w:t xml:space="preserve"> – Handy Multi Gas Carrier**</w:t>
            </w:r>
          </w:p>
        </w:tc>
        <w:tc>
          <w:tcPr>
            <w:tcW w:w="2020" w:type="dxa"/>
            <w:vAlign w:val="bottom"/>
            <w:gridSpan w:val="2"/>
          </w:tcPr>
          <w:p>
            <w:pPr>
              <w:jc w:val="center"/>
              <w:ind w:left="73"/>
              <w:spacing w:after="0"/>
              <w:rPr>
                <w:sz w:val="20"/>
                <w:szCs w:val="20"/>
                <w:color w:val="auto"/>
              </w:rPr>
            </w:pPr>
            <w:r>
              <w:rPr>
                <w:rFonts w:ascii="Times New Roman" w:cs="Times New Roman" w:eastAsia="Times New Roman" w:hAnsi="Times New Roman"/>
                <w:sz w:val="13"/>
                <w:szCs w:val="13"/>
                <w:color w:val="auto"/>
              </w:rPr>
              <w:t>8399</w:t>
            </w:r>
          </w:p>
        </w:tc>
        <w:tc>
          <w:tcPr>
            <w:tcW w:w="2040" w:type="dxa"/>
            <w:vAlign w:val="bottom"/>
            <w:gridSpan w:val="2"/>
          </w:tcPr>
          <w:p>
            <w:pPr>
              <w:jc w:val="center"/>
              <w:ind w:left="93"/>
              <w:spacing w:after="0"/>
              <w:rPr>
                <w:sz w:val="20"/>
                <w:szCs w:val="20"/>
                <w:color w:val="auto"/>
              </w:rPr>
            </w:pPr>
            <w:r>
              <w:rPr>
                <w:rFonts w:ascii="Times New Roman" w:cs="Times New Roman" w:eastAsia="Times New Roman" w:hAnsi="Times New Roman"/>
                <w:sz w:val="13"/>
                <w:szCs w:val="13"/>
                <w:color w:val="auto"/>
              </w:rPr>
              <w:t>22,000</w:t>
            </w:r>
          </w:p>
        </w:tc>
        <w:tc>
          <w:tcPr>
            <w:tcW w:w="14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Apr-26</w:t>
            </w: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 w:type="dxa"/>
            <w:vAlign w:val="bottom"/>
            <w:shd w:val="clear" w:color="auto" w:fill="CCEEFF"/>
          </w:tcPr>
          <w:p>
            <w:pPr>
              <w:spacing w:after="0"/>
              <w:rPr>
                <w:sz w:val="14"/>
                <w:szCs w:val="14"/>
                <w:color w:val="auto"/>
              </w:rPr>
            </w:pPr>
          </w:p>
        </w:tc>
        <w:tc>
          <w:tcPr>
            <w:tcW w:w="30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2"/>
                <w:szCs w:val="12"/>
                <w:color w:val="auto"/>
              </w:rPr>
              <w:t>LCO</w:t>
            </w:r>
            <w:r>
              <w:rPr>
                <w:rFonts w:ascii="Times New Roman" w:cs="Times New Roman" w:eastAsia="Times New Roman" w:hAnsi="Times New Roman"/>
                <w:sz w:val="19"/>
                <w:szCs w:val="19"/>
                <w:color w:val="auto"/>
                <w:vertAlign w:val="subscript"/>
              </w:rPr>
              <w:t>2</w:t>
            </w:r>
            <w:r>
              <w:rPr>
                <w:rFonts w:ascii="Times New Roman" w:cs="Times New Roman" w:eastAsia="Times New Roman" w:hAnsi="Times New Roman"/>
                <w:sz w:val="12"/>
                <w:szCs w:val="12"/>
                <w:color w:val="auto"/>
              </w:rPr>
              <w:t xml:space="preserve"> – Handy Multi Gas Carrier</w:t>
            </w:r>
          </w:p>
        </w:tc>
        <w:tc>
          <w:tcPr>
            <w:tcW w:w="2020" w:type="dxa"/>
            <w:vAlign w:val="bottom"/>
            <w:gridSpan w:val="2"/>
            <w:shd w:val="clear" w:color="auto" w:fill="CCEEFF"/>
          </w:tcPr>
          <w:p>
            <w:pPr>
              <w:jc w:val="center"/>
              <w:ind w:left="73"/>
              <w:spacing w:after="0"/>
              <w:rPr>
                <w:sz w:val="20"/>
                <w:szCs w:val="20"/>
                <w:color w:val="auto"/>
              </w:rPr>
            </w:pPr>
            <w:r>
              <w:rPr>
                <w:rFonts w:ascii="Times New Roman" w:cs="Times New Roman" w:eastAsia="Times New Roman" w:hAnsi="Times New Roman"/>
                <w:sz w:val="13"/>
                <w:szCs w:val="13"/>
                <w:color w:val="auto"/>
              </w:rPr>
              <w:t>8404</w:t>
            </w:r>
          </w:p>
        </w:tc>
        <w:tc>
          <w:tcPr>
            <w:tcW w:w="2040" w:type="dxa"/>
            <w:vAlign w:val="bottom"/>
            <w:gridSpan w:val="2"/>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rPr>
              <w:t>22,000</w:t>
            </w:r>
          </w:p>
        </w:tc>
        <w:tc>
          <w:tcPr>
            <w:tcW w:w="140" w:type="dxa"/>
            <w:vAlign w:val="bottom"/>
            <w:shd w:val="clear" w:color="auto" w:fill="CCEEFF"/>
          </w:tcPr>
          <w:p>
            <w:pPr>
              <w:spacing w:after="0"/>
              <w:rPr>
                <w:sz w:val="14"/>
                <w:szCs w:val="14"/>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Sep-26</w:t>
            </w:r>
          </w:p>
        </w:tc>
        <w:tc>
          <w:tcPr>
            <w:tcW w:w="2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3040" w:type="dxa"/>
            <w:vAlign w:val="bottom"/>
          </w:tcPr>
          <w:p>
            <w:pPr>
              <w:ind w:left="20"/>
              <w:spacing w:after="0" w:line="130" w:lineRule="exact"/>
              <w:rPr>
                <w:sz w:val="20"/>
                <w:szCs w:val="20"/>
                <w:color w:val="auto"/>
              </w:rPr>
            </w:pPr>
            <w:r>
              <w:rPr>
                <w:rFonts w:ascii="Times New Roman" w:cs="Times New Roman" w:eastAsia="Times New Roman" w:hAnsi="Times New Roman"/>
                <w:sz w:val="10"/>
                <w:szCs w:val="10"/>
                <w:color w:val="auto"/>
              </w:rPr>
              <w:t>LCO</w:t>
            </w:r>
            <w:r>
              <w:rPr>
                <w:rFonts w:ascii="Times New Roman" w:cs="Times New Roman" w:eastAsia="Times New Roman" w:hAnsi="Times New Roman"/>
                <w:sz w:val="15"/>
                <w:szCs w:val="15"/>
                <w:color w:val="auto"/>
                <w:vertAlign w:val="subscript"/>
              </w:rPr>
              <w:t>2</w:t>
            </w:r>
            <w:r>
              <w:rPr>
                <w:rFonts w:ascii="Times New Roman" w:cs="Times New Roman" w:eastAsia="Times New Roman" w:hAnsi="Times New Roman"/>
                <w:sz w:val="10"/>
                <w:szCs w:val="10"/>
                <w:color w:val="auto"/>
              </w:rPr>
              <w:t xml:space="preserve"> – Handy Multi Gas Carrier</w:t>
            </w:r>
          </w:p>
        </w:tc>
        <w:tc>
          <w:tcPr>
            <w:tcW w:w="2020" w:type="dxa"/>
            <w:vAlign w:val="bottom"/>
            <w:gridSpan w:val="2"/>
          </w:tcPr>
          <w:p>
            <w:pPr>
              <w:jc w:val="center"/>
              <w:ind w:left="73"/>
              <w:spacing w:after="0" w:line="130" w:lineRule="exact"/>
              <w:rPr>
                <w:sz w:val="20"/>
                <w:szCs w:val="20"/>
                <w:color w:val="auto"/>
              </w:rPr>
            </w:pPr>
            <w:r>
              <w:rPr>
                <w:rFonts w:ascii="Times New Roman" w:cs="Times New Roman" w:eastAsia="Times New Roman" w:hAnsi="Times New Roman"/>
                <w:sz w:val="13"/>
                <w:szCs w:val="13"/>
                <w:color w:val="auto"/>
              </w:rPr>
              <w:t>8405</w:t>
            </w:r>
          </w:p>
        </w:tc>
        <w:tc>
          <w:tcPr>
            <w:tcW w:w="2040" w:type="dxa"/>
            <w:vAlign w:val="bottom"/>
            <w:gridSpan w:val="2"/>
          </w:tcPr>
          <w:p>
            <w:pPr>
              <w:jc w:val="center"/>
              <w:ind w:left="93"/>
              <w:spacing w:after="0" w:line="130" w:lineRule="exact"/>
              <w:rPr>
                <w:sz w:val="20"/>
                <w:szCs w:val="20"/>
                <w:color w:val="auto"/>
              </w:rPr>
            </w:pPr>
            <w:r>
              <w:rPr>
                <w:rFonts w:ascii="Times New Roman" w:cs="Times New Roman" w:eastAsia="Times New Roman" w:hAnsi="Times New Roman"/>
                <w:sz w:val="13"/>
                <w:szCs w:val="13"/>
                <w:color w:val="auto"/>
              </w:rPr>
              <w:t>22,000</w:t>
            </w:r>
          </w:p>
        </w:tc>
        <w:tc>
          <w:tcPr>
            <w:tcW w:w="140" w:type="dxa"/>
            <w:vAlign w:val="bottom"/>
          </w:tcPr>
          <w:p>
            <w:pPr>
              <w:spacing w:after="0"/>
              <w:rPr>
                <w:sz w:val="13"/>
                <w:szCs w:val="13"/>
                <w:color w:val="auto"/>
              </w:rPr>
            </w:pPr>
          </w:p>
        </w:tc>
        <w:tc>
          <w:tcPr>
            <w:tcW w:w="19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auto"/>
              </w:rPr>
              <w:t>Nov-26</w:t>
            </w:r>
          </w:p>
        </w:tc>
        <w:tc>
          <w:tcPr>
            <w:tcW w:w="140" w:type="dxa"/>
            <w:vAlign w:val="bottom"/>
          </w:tcPr>
          <w:p>
            <w:pPr>
              <w:spacing w:after="0"/>
              <w:rPr>
                <w:sz w:val="13"/>
                <w:szCs w:val="13"/>
                <w:color w:val="auto"/>
              </w:rPr>
            </w:pPr>
          </w:p>
        </w:tc>
        <w:tc>
          <w:tcPr>
            <w:tcW w:w="1880" w:type="dxa"/>
            <w:vAlign w:val="bottom"/>
            <w:tcBorders>
              <w:bottom w:val="single" w:sz="8" w:color="auto"/>
            </w:tcBorders>
            <w:gridSpan w:val="3"/>
          </w:tcPr>
          <w:p>
            <w:pPr>
              <w:jc w:val="right"/>
              <w:spacing w:after="0" w:line="120" w:lineRule="exact"/>
              <w:rPr>
                <w:sz w:val="20"/>
                <w:szCs w:val="20"/>
                <w:color w:val="auto"/>
              </w:rPr>
            </w:pPr>
            <w:r>
              <w:rPr>
                <w:rFonts w:ascii="Times New Roman" w:cs="Times New Roman" w:eastAsia="Times New Roman" w:hAnsi="Times New Roman"/>
                <w:sz w:val="13"/>
                <w:szCs w:val="13"/>
                <w:color w:val="auto"/>
              </w:rPr>
              <w:t>30.6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040" w:type="dxa"/>
            <w:vAlign w:val="bottom"/>
            <w:tcBorders>
              <w:top w:val="single" w:sz="8" w:color="auto"/>
            </w:tcBorders>
          </w:tcPr>
          <w:p>
            <w:pPr>
              <w:ind w:left="20"/>
              <w:spacing w:after="0" w:line="140" w:lineRule="exact"/>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2"/>
                <w:szCs w:val="12"/>
                <w:color w:val="auto"/>
              </w:rPr>
            </w:pPr>
          </w:p>
        </w:tc>
        <w:tc>
          <w:tcPr>
            <w:tcW w:w="1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tcBorders>
              <w:bottom w:val="single" w:sz="8" w:color="auto"/>
            </w:tcBorders>
            <w:gridSpan w:val="3"/>
          </w:tcPr>
          <w:p>
            <w:pPr>
              <w:jc w:val="right"/>
              <w:spacing w:after="0" w:line="140" w:lineRule="exact"/>
              <w:rPr>
                <w:sz w:val="20"/>
                <w:szCs w:val="20"/>
                <w:color w:val="auto"/>
              </w:rPr>
            </w:pPr>
            <w:r>
              <w:rPr>
                <w:rFonts w:ascii="Times New Roman" w:cs="Times New Roman" w:eastAsia="Times New Roman" w:hAnsi="Times New Roman"/>
                <w:sz w:val="13"/>
                <w:szCs w:val="13"/>
                <w:b w:val="1"/>
                <w:bCs w:val="1"/>
                <w:color w:val="auto"/>
              </w:rPr>
              <w:t>$ 718.3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240" w:hanging="240"/>
        <w:spacing w:after="0"/>
        <w:tabs>
          <w:tab w:leader="none" w:pos="24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 date of this Annual Report.</w:t>
      </w:r>
    </w:p>
    <w:p>
      <w:pPr>
        <w:spacing w:after="0" w:line="8" w:lineRule="exact"/>
        <w:rPr>
          <w:sz w:val="20"/>
          <w:szCs w:val="20"/>
          <w:color w:val="auto"/>
        </w:rPr>
      </w:pPr>
    </w:p>
    <w:p>
      <w:pPr>
        <w:ind w:left="240" w:hanging="240"/>
        <w:spacing w:after="0"/>
        <w:tabs>
          <w:tab w:leader="none" w:pos="2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Vessel acquired pursuant to the rights of first refusal granted by Capital Maritime to the Company under the Umbrella Agreement.</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See “Item 5. Operating and Financial Review and Prospects—B. Liquidity and Capital Resources” for details of our commitments relating to our Under Construction Fleet.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Financing Arrangements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BGN Joint Venture</w:t>
      </w:r>
    </w:p>
    <w:p>
      <w:pPr>
        <w:spacing w:after="0" w:line="172"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On April 15, 2026, we announced a joint venture arrangement with BMarine Shipping Investment FZCO (“BMarine”), an affiliate of global energy trader the BGN Group. Pursuant to the joint venture arrangement, we have agreed to sell the LNG/C Amore Mio I to BM Capital HoldCo LLC (the “BGN JV”), a newly formed Marshall Islands limited liability company in which we hold a 51% interest and BMarine holds the remaining 49%, for a purchase price of $230.0 million. In connection with the transaction, the LNG/C Amore Mio I will be chartered to BGN INT DMCC, an affiliate of BGN Group, under a 10-year time charter, with two three-year extension options exercisable by the charterer. Expected aggregate revenues under the charter are approximately $485.6 million if all extension options are exercised, with the charter period extending through 2043. We expect to close the transaction in the first quarter of 2027, at which time the existing financing on the vessel will be refinanced.</w:t>
      </w:r>
    </w:p>
    <w:p>
      <w:pPr>
        <w:spacing w:after="0" w:line="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The 2025 – LCO</w:t>
      </w:r>
      <w:r>
        <w:rPr>
          <w:rFonts w:ascii="Times New Roman" w:cs="Times New Roman" w:eastAsia="Times New Roman" w:hAnsi="Times New Roman"/>
          <w:sz w:val="22"/>
          <w:szCs w:val="22"/>
          <w:i w:val="1"/>
          <w:iCs w:val="1"/>
          <w:color w:val="auto"/>
          <w:vertAlign w:val="subscript"/>
        </w:rPr>
        <w:t>2</w:t>
      </w:r>
      <w:r>
        <w:rPr>
          <w:rFonts w:ascii="Times New Roman" w:cs="Times New Roman" w:eastAsia="Times New Roman" w:hAnsi="Times New Roman"/>
          <w:sz w:val="13"/>
          <w:szCs w:val="13"/>
          <w:i w:val="1"/>
          <w:iCs w:val="1"/>
          <w:color w:val="auto"/>
        </w:rPr>
        <w:t xml:space="preserve"> – HMG/Cs Active, Alkimos Credit Facility</w:t>
      </w:r>
    </w:p>
    <w:p>
      <w:pPr>
        <w:spacing w:after="0" w:line="78" w:lineRule="exact"/>
        <w:rPr>
          <w:sz w:val="20"/>
          <w:szCs w:val="20"/>
          <w:color w:val="auto"/>
        </w:rPr>
      </w:pPr>
    </w:p>
    <w:p>
      <w:pPr>
        <w:jc w:val="both"/>
        <w:ind w:firstLine="479"/>
        <w:spacing w:after="0" w:line="222" w:lineRule="auto"/>
        <w:rPr>
          <w:sz w:val="20"/>
          <w:szCs w:val="20"/>
          <w:color w:val="auto"/>
        </w:rPr>
      </w:pPr>
      <w:r>
        <w:rPr>
          <w:rFonts w:ascii="Times New Roman" w:cs="Times New Roman" w:eastAsia="Times New Roman" w:hAnsi="Times New Roman"/>
          <w:sz w:val="13"/>
          <w:szCs w:val="13"/>
          <w:color w:val="auto"/>
        </w:rPr>
        <w:t>On September 30, 2025, the vessel-owning companies of the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 HMG/C Active (delivered in January 2026) and M/V Alkimos (Hull - 8404; under construction) entered into a new credit facility (the “2025 –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 HMG/Cs Active, Alkimos Credit Facility”) with the purpose of partially financing the deliveries of the vessels from the shipyard. The Company is acting as a parent guarantor. The following table presents an analysis of the main terms of the credit facility: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All amounts presented in the table below are expressed in millions of United States Dollars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6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w w:val="99"/>
              </w:rPr>
              <w:t>Actual or</w:t>
            </w: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0"/>
        </w:trPr>
        <w:tc>
          <w:tcPr>
            <w:tcW w:w="16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Scheduled</w:t>
            </w: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Duration in</w:t>
            </w:r>
          </w:p>
        </w:tc>
      </w:tr>
      <w:tr>
        <w:trPr>
          <w:trHeight w:val="160"/>
        </w:trPr>
        <w:tc>
          <w:tcPr>
            <w:tcW w:w="164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Vessel Names</w:t>
            </w:r>
          </w:p>
        </w:tc>
        <w:tc>
          <w:tcPr>
            <w:tcW w:w="130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Vessel Type</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CBM</w:t>
            </w:r>
          </w:p>
        </w:tc>
        <w:tc>
          <w:tcPr>
            <w:tcW w:w="122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Delivery</w:t>
            </w:r>
          </w:p>
        </w:tc>
        <w:tc>
          <w:tcPr>
            <w:tcW w:w="1900" w:type="dxa"/>
            <w:vAlign w:val="bottom"/>
            <w:gridSpan w:val="2"/>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Financing Amount</w:t>
            </w:r>
          </w:p>
        </w:tc>
        <w:tc>
          <w:tcPr>
            <w:tcW w:w="1820" w:type="dxa"/>
            <w:vAlign w:val="bottom"/>
            <w:gridSpan w:val="2"/>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Quarterly Instalment</w:t>
            </w:r>
          </w:p>
        </w:tc>
        <w:tc>
          <w:tcPr>
            <w:tcW w:w="168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Balloon</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years</w:t>
            </w:r>
          </w:p>
        </w:tc>
      </w:tr>
      <w:tr>
        <w:trPr>
          <w:trHeight w:val="174"/>
        </w:trPr>
        <w:tc>
          <w:tcPr>
            <w:tcW w:w="1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20" w:type="dxa"/>
            <w:vAlign w:val="bottom"/>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Base</w:t>
            </w:r>
          </w:p>
        </w:tc>
        <w:tc>
          <w:tcPr>
            <w:tcW w:w="980" w:type="dxa"/>
            <w:vAlign w:val="bottom"/>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Increased*</w:t>
            </w:r>
          </w:p>
        </w:tc>
        <w:tc>
          <w:tcPr>
            <w:tcW w:w="820" w:type="dxa"/>
            <w:vAlign w:val="bottom"/>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Base</w:t>
            </w: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Increased*</w:t>
            </w: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Base</w:t>
            </w: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Increased*</w:t>
            </w:r>
          </w:p>
        </w:tc>
        <w:tc>
          <w:tcPr>
            <w:tcW w:w="840" w:type="dxa"/>
            <w:vAlign w:val="bottom"/>
          </w:tcPr>
          <w:p>
            <w:pPr>
              <w:spacing w:after="0"/>
              <w:rPr>
                <w:sz w:val="15"/>
                <w:szCs w:val="15"/>
                <w:color w:val="auto"/>
              </w:rPr>
            </w:pPr>
          </w:p>
        </w:tc>
      </w:tr>
      <w:tr>
        <w:trPr>
          <w:trHeight w:val="170"/>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Active &amp; Alkimos</w:t>
            </w:r>
          </w:p>
        </w:tc>
        <w:tc>
          <w:tcPr>
            <w:tcW w:w="1300" w:type="dxa"/>
            <w:vAlign w:val="bottom"/>
            <w:shd w:val="clear" w:color="auto" w:fill="CCEEFF"/>
          </w:tcPr>
          <w:p>
            <w:pPr>
              <w:jc w:val="right"/>
              <w:ind w:right="57"/>
              <w:spacing w:after="0" w:line="170" w:lineRule="exact"/>
              <w:rPr>
                <w:sz w:val="20"/>
                <w:szCs w:val="20"/>
                <w:color w:val="auto"/>
              </w:rPr>
            </w:pPr>
            <w:r>
              <w:rPr>
                <w:rFonts w:ascii="Times New Roman" w:cs="Times New Roman" w:eastAsia="Times New Roman" w:hAnsi="Times New Roman"/>
                <w:sz w:val="12"/>
                <w:szCs w:val="12"/>
                <w:color w:val="auto"/>
              </w:rPr>
              <w:t>LCO</w:t>
            </w:r>
            <w:r>
              <w:rPr>
                <w:rFonts w:ascii="Times New Roman" w:cs="Times New Roman" w:eastAsia="Times New Roman" w:hAnsi="Times New Roman"/>
                <w:sz w:val="19"/>
                <w:szCs w:val="19"/>
                <w:color w:val="auto"/>
                <w:vertAlign w:val="subscript"/>
              </w:rPr>
              <w:t>2</w:t>
            </w:r>
            <w:r>
              <w:rPr>
                <w:rFonts w:ascii="Times New Roman" w:cs="Times New Roman" w:eastAsia="Times New Roman" w:hAnsi="Times New Roman"/>
                <w:sz w:val="12"/>
                <w:szCs w:val="12"/>
                <w:color w:val="auto"/>
              </w:rPr>
              <w:t xml:space="preserve"> – HMG/C</w:t>
            </w:r>
          </w:p>
        </w:tc>
        <w:tc>
          <w:tcPr>
            <w:tcW w:w="8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rPr>
              <w:t>22,000</w:t>
            </w:r>
          </w:p>
        </w:tc>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Q1 &amp; Q3 2026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101.7</w:t>
            </w:r>
          </w:p>
        </w:tc>
        <w:tc>
          <w:tcPr>
            <w:tcW w:w="9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117.3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1.5</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37.5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r>
    </w:tbl>
    <w:p>
      <w:pPr>
        <w:ind w:left="440" w:hanging="440"/>
        <w:spacing w:after="0"/>
        <w:tabs>
          <w:tab w:leader="none" w:pos="44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amount if long term employment is secured</w:t>
      </w:r>
    </w:p>
    <w:p>
      <w:pPr>
        <w:spacing w:after="0" w:line="157"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53</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28" w:right="319" w:bottom="1440" w:gutter="0" w:footer="0" w:header="0"/>
        </w:sectPr>
      </w:pPr>
    </w:p>
    <w:bookmarkStart w:id="54" w:name="page55"/>
    <w:bookmarkEnd w:id="54"/>
    <w:p>
      <w:pPr>
        <w:ind w:left="480"/>
        <w:spacing w:after="0"/>
        <w:rPr>
          <w:sz w:val="20"/>
          <w:szCs w:val="20"/>
          <w:color w:val="auto"/>
        </w:rPr>
      </w:pPr>
      <w:r>
        <w:rPr>
          <w:rFonts w:ascii="Times New Roman" w:cs="Times New Roman" w:eastAsia="Times New Roman" w:hAnsi="Times New Roman"/>
          <w:sz w:val="13"/>
          <w:szCs w:val="13"/>
          <w:color w:val="auto"/>
        </w:rPr>
        <w:t>On December 30, 2025, the Company drew down the amount of $44.5 million and a further $4.4 million was drawn on January 5, 2026 to partly finance the delivery of the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 HMG/Cs Active.</w:t>
      </w:r>
    </w:p>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The 2025 CMBFL-MG/C</w:t>
      </w:r>
    </w:p>
    <w:p>
      <w:pPr>
        <w:spacing w:after="0" w:line="172"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On August 13, 2025, the vessel-owning companies of all six of our DF MGC vessels in our Under Construction Fleet, entered into six separate sale and lease back agreements with subsidiaries of the CMB Financial Leasing Co., Ltd (“CMBFL”) (collectively, the “2025 CMBFL-MG/C”) for the purpose of partially financing deliveries of the vessels from the shipyard. The vessels include the M/T Aristogenis (Hull - 8424), M/T Aridaios (Hull - 8425), M/T Aratos (Hull - 8426), M/T Agenor (Hull - 8427) (each, 45,000 CBM, DF LPG, Hyundai Mipo Dockyard Co. Ltd., South Korea), and M/T Andrianos (Hull – S1111) and M/T Anios (Hull – S1112) (each, 40,000 CBM, DF LPG, Nantong CIMC Sinopacific Offshore &amp; Engineering Co. Ltd, PRC). The following table presents an analysis of the main terms of the sale and leaseback agreements: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All amounts presented in the table below are expressed in millions of United States Dollars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6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Scheduled</w:t>
            </w: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Duration in</w:t>
            </w:r>
          </w:p>
        </w:tc>
      </w:tr>
      <w:tr>
        <w:trPr>
          <w:trHeight w:val="160"/>
        </w:trPr>
        <w:tc>
          <w:tcPr>
            <w:tcW w:w="1620" w:type="dxa"/>
            <w:vAlign w:val="bottom"/>
          </w:tcPr>
          <w:p>
            <w:pPr>
              <w:ind w:left="600"/>
              <w:spacing w:after="0"/>
              <w:rPr>
                <w:sz w:val="20"/>
                <w:szCs w:val="20"/>
                <w:color w:val="auto"/>
              </w:rPr>
            </w:pPr>
            <w:r>
              <w:rPr>
                <w:rFonts w:ascii="Times New Roman" w:cs="Times New Roman" w:eastAsia="Times New Roman" w:hAnsi="Times New Roman"/>
                <w:sz w:val="13"/>
                <w:szCs w:val="13"/>
                <w:b w:val="1"/>
                <w:bCs w:val="1"/>
                <w:color w:val="auto"/>
              </w:rPr>
              <w:t>Vessel Name</w:t>
            </w:r>
          </w:p>
        </w:tc>
        <w:tc>
          <w:tcPr>
            <w:tcW w:w="132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Vessel Type</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CBM</w:t>
            </w:r>
          </w:p>
        </w:tc>
        <w:tc>
          <w:tcPr>
            <w:tcW w:w="122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rPr>
              <w:t>Delivery</w:t>
            </w:r>
          </w:p>
        </w:tc>
        <w:tc>
          <w:tcPr>
            <w:tcW w:w="1900" w:type="dxa"/>
            <w:vAlign w:val="bottom"/>
            <w:gridSpan w:val="2"/>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Financing Amount</w:t>
            </w:r>
          </w:p>
        </w:tc>
        <w:tc>
          <w:tcPr>
            <w:tcW w:w="1820" w:type="dxa"/>
            <w:vAlign w:val="bottom"/>
            <w:gridSpan w:val="2"/>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Quarterly Instalment</w:t>
            </w:r>
          </w:p>
        </w:tc>
        <w:tc>
          <w:tcPr>
            <w:tcW w:w="168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Balloon</w:t>
            </w:r>
          </w:p>
        </w:tc>
        <w:tc>
          <w:tcPr>
            <w:tcW w:w="840" w:type="dxa"/>
            <w:vAlign w:val="bottom"/>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years</w:t>
            </w:r>
          </w:p>
        </w:tc>
      </w:tr>
      <w:tr>
        <w:trPr>
          <w:trHeight w:val="174"/>
        </w:trPr>
        <w:tc>
          <w:tcPr>
            <w:tcW w:w="1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20" w:type="dxa"/>
            <w:vAlign w:val="bottom"/>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Base</w:t>
            </w:r>
          </w:p>
        </w:tc>
        <w:tc>
          <w:tcPr>
            <w:tcW w:w="980" w:type="dxa"/>
            <w:vAlign w:val="bottom"/>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Increased*</w:t>
            </w:r>
          </w:p>
        </w:tc>
        <w:tc>
          <w:tcPr>
            <w:tcW w:w="820" w:type="dxa"/>
            <w:vAlign w:val="bottom"/>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Base</w:t>
            </w: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Increased*</w:t>
            </w: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Base</w:t>
            </w: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Increased*</w:t>
            </w:r>
          </w:p>
        </w:tc>
        <w:tc>
          <w:tcPr>
            <w:tcW w:w="840" w:type="dxa"/>
            <w:vAlign w:val="bottom"/>
          </w:tcPr>
          <w:p>
            <w:pPr>
              <w:spacing w:after="0"/>
              <w:rPr>
                <w:sz w:val="15"/>
                <w:szCs w:val="15"/>
                <w:color w:val="auto"/>
              </w:rPr>
            </w:pPr>
          </w:p>
        </w:tc>
      </w:tr>
      <w:tr>
        <w:trPr>
          <w:trHeight w:val="160"/>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Aristogenis</w:t>
            </w:r>
          </w:p>
        </w:tc>
        <w:tc>
          <w:tcPr>
            <w:tcW w:w="1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MG/C</w:t>
            </w:r>
          </w:p>
        </w:tc>
        <w:tc>
          <w:tcPr>
            <w:tcW w:w="8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rPr>
              <w:t>45,000</w:t>
            </w:r>
          </w:p>
        </w:tc>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Q2 2026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9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66.4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0.8</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35.5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60"/>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Aridaios</w:t>
            </w:r>
          </w:p>
        </w:tc>
        <w:tc>
          <w:tcPr>
            <w:tcW w:w="13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MG/C</w:t>
            </w: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3"/>
                <w:szCs w:val="13"/>
                <w:color w:val="auto"/>
              </w:rPr>
              <w:t>45,000</w:t>
            </w:r>
          </w:p>
        </w:tc>
        <w:tc>
          <w:tcPr>
            <w:tcW w:w="12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Q3 2026</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66.4</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0.8</w:t>
            </w:r>
          </w:p>
        </w:tc>
        <w:tc>
          <w:tcPr>
            <w:tcW w:w="8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35.5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60"/>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Aratos</w:t>
            </w:r>
          </w:p>
        </w:tc>
        <w:tc>
          <w:tcPr>
            <w:tcW w:w="1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MG/C</w:t>
            </w:r>
          </w:p>
        </w:tc>
        <w:tc>
          <w:tcPr>
            <w:tcW w:w="8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rPr>
              <w:t>45,000</w:t>
            </w:r>
          </w:p>
        </w:tc>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Q1 2027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9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66.4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0.8</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35.5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60"/>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Agenor</w:t>
            </w:r>
          </w:p>
        </w:tc>
        <w:tc>
          <w:tcPr>
            <w:tcW w:w="13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MG/C</w:t>
            </w: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3"/>
                <w:szCs w:val="13"/>
                <w:color w:val="auto"/>
              </w:rPr>
              <w:t>45,000</w:t>
            </w:r>
          </w:p>
        </w:tc>
        <w:tc>
          <w:tcPr>
            <w:tcW w:w="12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Q2 2027</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66.4</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0.8</w:t>
            </w:r>
          </w:p>
        </w:tc>
        <w:tc>
          <w:tcPr>
            <w:tcW w:w="8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35.5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60"/>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Andrianos</w:t>
            </w:r>
          </w:p>
        </w:tc>
        <w:tc>
          <w:tcPr>
            <w:tcW w:w="1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MG/C</w:t>
            </w:r>
          </w:p>
        </w:tc>
        <w:tc>
          <w:tcPr>
            <w:tcW w:w="8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rPr>
              <w:t>40,000</w:t>
            </w:r>
          </w:p>
        </w:tc>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Q1 2027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9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55.5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0.7</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29.7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61"/>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Anios</w:t>
            </w:r>
          </w:p>
        </w:tc>
        <w:tc>
          <w:tcPr>
            <w:tcW w:w="13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MG/C</w:t>
            </w: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3"/>
                <w:szCs w:val="13"/>
                <w:color w:val="auto"/>
              </w:rPr>
              <w:t>40,000</w:t>
            </w:r>
          </w:p>
        </w:tc>
        <w:tc>
          <w:tcPr>
            <w:tcW w:w="12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Q3 2027</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55.5</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0.7</w:t>
            </w:r>
          </w:p>
        </w:tc>
        <w:tc>
          <w:tcPr>
            <w:tcW w:w="8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29.7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bl>
    <w:p>
      <w:pPr>
        <w:jc w:val="both"/>
        <w:ind w:left="480" w:right="7960" w:hanging="480"/>
        <w:spacing w:after="0" w:line="320" w:lineRule="auto"/>
        <w:tabs>
          <w:tab w:leader="none" w:pos="45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Increased amount if long term employment is secured </w:t>
      </w:r>
      <w:r>
        <w:rPr>
          <w:rFonts w:ascii="Times New Roman" w:cs="Times New Roman" w:eastAsia="Times New Roman" w:hAnsi="Times New Roman"/>
          <w:sz w:val="13"/>
          <w:szCs w:val="13"/>
          <w:i w:val="1"/>
          <w:iCs w:val="1"/>
          <w:color w:val="auto"/>
        </w:rPr>
        <w:t xml:space="preserve">The 2025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LCO</w:t>
      </w:r>
      <w:r>
        <w:rPr>
          <w:rFonts w:ascii="Times New Roman" w:cs="Times New Roman" w:eastAsia="Times New Roman" w:hAnsi="Times New Roman"/>
          <w:sz w:val="22"/>
          <w:szCs w:val="22"/>
          <w:i w:val="1"/>
          <w:iCs w:val="1"/>
          <w:color w:val="auto"/>
          <w:vertAlign w:val="subscript"/>
        </w:rPr>
        <w:t>2</w:t>
      </w:r>
      <w:r>
        <w:rPr>
          <w:rFonts w:ascii="Times New Roman" w:cs="Times New Roman" w:eastAsia="Times New Roman" w:hAnsi="Times New Roman"/>
          <w:sz w:val="13"/>
          <w:szCs w:val="13"/>
          <w:i w:val="1"/>
          <w:iCs w:val="1"/>
          <w:color w:val="auto"/>
        </w:rPr>
        <w:t xml:space="preserve"> Amadeus, Athenian Credit Facility</w:t>
      </w:r>
    </w:p>
    <w:p>
      <w:pPr>
        <w:spacing w:after="0" w:line="2" w:lineRule="exact"/>
        <w:rPr>
          <w:sz w:val="20"/>
          <w:szCs w:val="20"/>
          <w:color w:val="auto"/>
        </w:rPr>
      </w:pPr>
    </w:p>
    <w:p>
      <w:pPr>
        <w:jc w:val="both"/>
        <w:ind w:firstLine="479"/>
        <w:spacing w:after="0" w:line="222" w:lineRule="auto"/>
        <w:rPr>
          <w:sz w:val="20"/>
          <w:szCs w:val="20"/>
          <w:color w:val="auto"/>
        </w:rPr>
      </w:pPr>
      <w:r>
        <w:rPr>
          <w:rFonts w:ascii="Times New Roman" w:cs="Times New Roman" w:eastAsia="Times New Roman" w:hAnsi="Times New Roman"/>
          <w:sz w:val="13"/>
          <w:szCs w:val="13"/>
          <w:color w:val="auto"/>
        </w:rPr>
        <w:t>On June 26, 2025, the vessel-owning companies of two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 HMG/C vessels in our Under Construction Fleet, namely the M/V Amadeus (Hull - 8399) and the M/V Athenian (Hull - 8405), entered into a new credit facility (the “2025 –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Amadeus, Athenian Credit Facility”) to partially finance the deliveries of the vessels from the shipyard. The Company is acting as a parent guarantor. The following table presents an analysis of the main terms of the credit facility: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All amounts presented in the table below are expressed in millions of United States Dollars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6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w w:val="99"/>
              </w:rPr>
              <w:t>Actual or</w:t>
            </w: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0"/>
        </w:trPr>
        <w:tc>
          <w:tcPr>
            <w:tcW w:w="16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Scheduled</w:t>
            </w: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Duration in</w:t>
            </w:r>
          </w:p>
        </w:tc>
      </w:tr>
      <w:tr>
        <w:trPr>
          <w:trHeight w:val="160"/>
        </w:trPr>
        <w:tc>
          <w:tcPr>
            <w:tcW w:w="164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Vessel Names</w:t>
            </w:r>
          </w:p>
        </w:tc>
        <w:tc>
          <w:tcPr>
            <w:tcW w:w="130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Vessel Type</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CBM</w:t>
            </w:r>
          </w:p>
        </w:tc>
        <w:tc>
          <w:tcPr>
            <w:tcW w:w="122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Delivery</w:t>
            </w:r>
          </w:p>
        </w:tc>
        <w:tc>
          <w:tcPr>
            <w:tcW w:w="1900" w:type="dxa"/>
            <w:vAlign w:val="bottom"/>
            <w:gridSpan w:val="2"/>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Financing Amount</w:t>
            </w:r>
          </w:p>
        </w:tc>
        <w:tc>
          <w:tcPr>
            <w:tcW w:w="1820" w:type="dxa"/>
            <w:vAlign w:val="bottom"/>
            <w:gridSpan w:val="2"/>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Quarterly Instalment</w:t>
            </w:r>
          </w:p>
        </w:tc>
        <w:tc>
          <w:tcPr>
            <w:tcW w:w="168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Balloon</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years</w:t>
            </w:r>
          </w:p>
        </w:tc>
      </w:tr>
      <w:tr>
        <w:trPr>
          <w:trHeight w:val="174"/>
        </w:trPr>
        <w:tc>
          <w:tcPr>
            <w:tcW w:w="1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20" w:type="dxa"/>
            <w:vAlign w:val="bottom"/>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Base</w:t>
            </w:r>
          </w:p>
        </w:tc>
        <w:tc>
          <w:tcPr>
            <w:tcW w:w="980" w:type="dxa"/>
            <w:vAlign w:val="bottom"/>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Increased*</w:t>
            </w:r>
          </w:p>
        </w:tc>
        <w:tc>
          <w:tcPr>
            <w:tcW w:w="820" w:type="dxa"/>
            <w:vAlign w:val="bottom"/>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Base</w:t>
            </w: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Increased*</w:t>
            </w: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Base</w:t>
            </w: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Increased*</w:t>
            </w:r>
          </w:p>
        </w:tc>
        <w:tc>
          <w:tcPr>
            <w:tcW w:w="840" w:type="dxa"/>
            <w:vAlign w:val="bottom"/>
          </w:tcPr>
          <w:p>
            <w:pPr>
              <w:spacing w:after="0"/>
              <w:rPr>
                <w:sz w:val="15"/>
                <w:szCs w:val="15"/>
                <w:color w:val="auto"/>
              </w:rPr>
            </w:pPr>
          </w:p>
        </w:tc>
      </w:tr>
      <w:tr>
        <w:trPr>
          <w:trHeight w:val="170"/>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Amadeus &amp; Athenian</w:t>
            </w:r>
          </w:p>
        </w:tc>
        <w:tc>
          <w:tcPr>
            <w:tcW w:w="1300" w:type="dxa"/>
            <w:vAlign w:val="bottom"/>
            <w:shd w:val="clear" w:color="auto" w:fill="CCEEFF"/>
          </w:tcPr>
          <w:p>
            <w:pPr>
              <w:jc w:val="right"/>
              <w:ind w:right="57"/>
              <w:spacing w:after="0" w:line="170" w:lineRule="exact"/>
              <w:rPr>
                <w:sz w:val="20"/>
                <w:szCs w:val="20"/>
                <w:color w:val="auto"/>
              </w:rPr>
            </w:pPr>
            <w:r>
              <w:rPr>
                <w:rFonts w:ascii="Times New Roman" w:cs="Times New Roman" w:eastAsia="Times New Roman" w:hAnsi="Times New Roman"/>
                <w:sz w:val="12"/>
                <w:szCs w:val="12"/>
                <w:color w:val="auto"/>
              </w:rPr>
              <w:t>LCO</w:t>
            </w:r>
            <w:r>
              <w:rPr>
                <w:rFonts w:ascii="Times New Roman" w:cs="Times New Roman" w:eastAsia="Times New Roman" w:hAnsi="Times New Roman"/>
                <w:sz w:val="19"/>
                <w:szCs w:val="19"/>
                <w:color w:val="auto"/>
                <w:vertAlign w:val="subscript"/>
              </w:rPr>
              <w:t>2</w:t>
            </w:r>
            <w:r>
              <w:rPr>
                <w:rFonts w:ascii="Times New Roman" w:cs="Times New Roman" w:eastAsia="Times New Roman" w:hAnsi="Times New Roman"/>
                <w:sz w:val="12"/>
                <w:szCs w:val="12"/>
                <w:color w:val="auto"/>
              </w:rPr>
              <w:t xml:space="preserve"> – HMG/C</w:t>
            </w:r>
          </w:p>
        </w:tc>
        <w:tc>
          <w:tcPr>
            <w:tcW w:w="8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rPr>
              <w:t>22,000</w:t>
            </w:r>
          </w:p>
        </w:tc>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Q2 &amp; Q4 2026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101.7</w:t>
            </w:r>
          </w:p>
        </w:tc>
        <w:tc>
          <w:tcPr>
            <w:tcW w:w="9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117.3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1.5</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76.3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r>
    </w:tbl>
    <w:p>
      <w:pPr>
        <w:ind w:left="440" w:hanging="440"/>
        <w:spacing w:after="0"/>
        <w:tabs>
          <w:tab w:leader="none" w:pos="44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amount if long term employment is secured</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Issuance of €250.0 Million Unsecured Bonds</w:t>
      </w:r>
    </w:p>
    <w:p>
      <w:pPr>
        <w:spacing w:after="0" w:line="172"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On February 25, 2026, CCEC issued €250.0 million of senior unsecured bonds to investors in Greece (the “2026 Bonds”). The 2026 Bonds mature in February 2033 and have a coupon of 3.75%, payable semi-annually. The trading of the 2026 Bonds on the Athens Stock Exchange commenced on February 26, 2026. The proceeds of the 2026 Bonds will be used to refinance the outstanding €150.0 million of unsecured bonds issued by CPLP PLC in 2021 (the “2021 Bonds”), as well as to partially fund our capital expenditures and support our working capital needs. We estimate the expenses related to the offering of the 2026 Bonds to be approximately €7.5 million. In April 2026 we repaid the outstanding €150.0 million unsecured bond issued in 2021.</w:t>
      </w:r>
    </w:p>
    <w:p>
      <w:pPr>
        <w:spacing w:after="0" w:line="131"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54</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49" w:right="319" w:bottom="1440" w:gutter="0" w:footer="0" w:header="0"/>
        </w:sectPr>
      </w:pPr>
    </w:p>
    <w:bookmarkStart w:id="55" w:name="page56"/>
    <w:bookmarkEnd w:id="55"/>
    <w:p>
      <w:pPr>
        <w:ind w:left="480"/>
        <w:spacing w:after="0"/>
        <w:rPr>
          <w:sz w:val="20"/>
          <w:szCs w:val="20"/>
          <w:color w:val="auto"/>
        </w:rPr>
      </w:pPr>
      <w:r>
        <w:rPr>
          <w:rFonts w:ascii="Times New Roman" w:cs="Times New Roman" w:eastAsia="Times New Roman" w:hAnsi="Times New Roman"/>
          <w:sz w:val="13"/>
          <w:szCs w:val="13"/>
          <w:i w:val="1"/>
          <w:iCs w:val="1"/>
          <w:color w:val="auto"/>
        </w:rPr>
        <w:t>Cross-currency swap agreements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In connection with the issuance of the 2026 Bonds, the Company entered into three cross-currency swap agreements (“Swap Agreements”) starting on February 25, 2026:</w:t>
      </w:r>
    </w:p>
    <w:p>
      <w:pPr>
        <w:spacing w:after="0" w:line="122" w:lineRule="exact"/>
        <w:rPr>
          <w:sz w:val="20"/>
          <w:szCs w:val="20"/>
          <w:color w:val="auto"/>
        </w:rPr>
      </w:pPr>
    </w:p>
    <w:p>
      <w:pPr>
        <w:ind w:left="940" w:hanging="232"/>
        <w:spacing w:after="0"/>
        <w:tabs>
          <w:tab w:leader="none" w:pos="940" w:val="left"/>
        </w:tabs>
        <w:numPr>
          <w:ilvl w:val="0"/>
          <w:numId w:val="37"/>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With the first Swap Agreement the Company exchanges €83.0 million with $97.8 million paying fixed annual rate of 5.11%;</w:t>
      </w:r>
    </w:p>
    <w:p>
      <w:pPr>
        <w:spacing w:after="0" w:line="16" w:lineRule="exact"/>
        <w:rPr>
          <w:rFonts w:ascii="Arial" w:cs="Arial" w:eastAsia="Arial" w:hAnsi="Arial"/>
          <w:sz w:val="12"/>
          <w:szCs w:val="12"/>
          <w:b w:val="1"/>
          <w:bCs w:val="1"/>
          <w:color w:val="auto"/>
        </w:rPr>
      </w:pPr>
    </w:p>
    <w:p>
      <w:pPr>
        <w:ind w:left="940" w:hanging="232"/>
        <w:spacing w:after="0"/>
        <w:tabs>
          <w:tab w:leader="none" w:pos="940" w:val="left"/>
        </w:tabs>
        <w:numPr>
          <w:ilvl w:val="0"/>
          <w:numId w:val="37"/>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With the second Swap Agreement the Company exchanges €83.0 million with $97.8 million paying fixed annual rate of 5.11%; and</w:t>
      </w:r>
    </w:p>
    <w:p>
      <w:pPr>
        <w:spacing w:after="0" w:line="11" w:lineRule="exact"/>
        <w:rPr>
          <w:rFonts w:ascii="Arial" w:cs="Arial" w:eastAsia="Arial" w:hAnsi="Arial"/>
          <w:sz w:val="12"/>
          <w:szCs w:val="12"/>
          <w:b w:val="1"/>
          <w:bCs w:val="1"/>
          <w:color w:val="auto"/>
        </w:rPr>
      </w:pPr>
    </w:p>
    <w:p>
      <w:pPr>
        <w:ind w:left="940" w:hanging="232"/>
        <w:spacing w:after="0"/>
        <w:tabs>
          <w:tab w:leader="none" w:pos="940" w:val="left"/>
        </w:tabs>
        <w:numPr>
          <w:ilvl w:val="0"/>
          <w:numId w:val="37"/>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With the third Swap Agreement the Company exchanges €84.0 million with $99.0 million paying fixed annual rate of 5.10%.</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Dividend Reinvestment Plan</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On June 10, 2025, we announced a Dividend Reinvestment Plan (“DRIP”). The DRIP is open to our existing shareholders and investors who will become our shareholders in the future outside of the DRIP. During the year ended December 31, 2025, the Company issued 761,074 common shares under the DRIP at an average price of $21.60 per share, net of issuance costs. During the year ended December 31, 2025, we recognized deferred offering expenses of $0.2 million relating to the DRIP.</w:t>
      </w:r>
    </w:p>
    <w:p>
      <w:pPr>
        <w:spacing w:after="0" w:line="1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Sales Agreement with Jefferies</w:t>
      </w:r>
    </w:p>
    <w:p>
      <w:pPr>
        <w:spacing w:after="0" w:line="172"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On January 27, 2025, we entered into the Sales Agreement, under which we may sell, from time to time through Jefferies, as our sales agent, new common shares having an aggregate offering amount of up to $75.0 million as part of our ATM Program. We intend to use the net proceeds from the sales of new common shares, after deducting the sales agent’s commissions and our offering expenses, for general corporate purposes, which may include, among other things, the acquisition of new vessels, the repayment or refinancing of all or a portion of our outstanding indebtedness and funding of working capital requirements or capital expenditures. As of December 31, 2025, we issued 9,466 new common shares pursuant to the Sales Agreement, resulting in net proceeds of $0.2 million after the payment of commission to Jefferies, but before offering expenses.</w:t>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Vessel Disposals</w:t>
      </w:r>
    </w:p>
    <w:p>
      <w:pPr>
        <w:spacing w:after="0" w:line="170"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On October 29, 2025, we entered into a memorandum of agreement with a third party for the sale of the M/V Buenaventura Express (142,411 DWT / 13,696 TEU, hybrid scrubber-fitted, eco container vessel, built 2023, Hyundai Samho Industries Co. Ltd, South Korea). The vessel was delivered to its new owner on January 19, 2026.</w:t>
      </w:r>
    </w:p>
    <w:p>
      <w:pPr>
        <w:spacing w:after="0" w:line="11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On August 7, 2025, we entered into a memorandum of agreement with a third party for the sale of the M/V Manzanillo Express (142,411 DWT / 13,312 TEU, hybrid scrubber-fitted, eco container vessel, built 2022, Hyundai Samho Industries Co. Ltd, South Korea). The vessel was delivered to its new owner on October 6, 2025.</w:t>
      </w:r>
    </w:p>
    <w:p>
      <w:pPr>
        <w:spacing w:after="0" w:line="11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On January 10, 2025 and March 10, 2025, respectively, we delivered the M/V Hyundai Privilege and M/V Hyundai Platinum (each 63,010 DWT/ 5,023 TEU container vessel, built 2013 by Hyundai Heavy Industries Co., Ltd., S. Korea) to a third party pursuant to two agreements for the sales of the container vessels that we entered into on September 12, 2024.</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See “Item 5. Operating and Financial Review and Prospects—B. Liquidity and Capital Resources—Borrowings (Financing Arrangements)” below for information regarding our financing arrangements.</w:t>
      </w:r>
    </w:p>
    <w:p>
      <w:pPr>
        <w:spacing w:after="0" w:line="170"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55</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56" w:name="page57"/>
    <w:bookmarkEnd w:id="56"/>
    <w:p>
      <w:pPr>
        <w:ind w:left="480"/>
        <w:spacing w:after="0"/>
        <w:rPr>
          <w:sz w:val="20"/>
          <w:szCs w:val="20"/>
          <w:color w:val="auto"/>
        </w:rPr>
      </w:pPr>
      <w:r>
        <w:rPr>
          <w:rFonts w:ascii="Times New Roman" w:cs="Times New Roman" w:eastAsia="Times New Roman" w:hAnsi="Times New Roman"/>
          <w:sz w:val="13"/>
          <w:szCs w:val="13"/>
          <w:i w:val="1"/>
          <w:iCs w:val="1"/>
          <w:color w:val="auto"/>
        </w:rPr>
        <w:t>Board Changes</w:t>
      </w:r>
    </w:p>
    <w:p>
      <w:pPr>
        <w:spacing w:after="0" w:line="172"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On August 8, 2025, we announced that Mr. Abel Rasterhoff has determined to resign from his functions effective upon the commencement of the annual meeting of shareholders of the Company. To fill the seat vacated by Mr. Abel Rasterhoff, Mr. Martin Houston was nominated by the Nominating Committee of the board of directors and the board of directors for election to serve as director from the 2025 annual meeting of shareholders until the 2026 annual meeting of shareholders or until a successor is duly elected and qualified or until his earlier death, resignation, disqualification or removal. At the Company’s annual meeting of shareholders on September 22, 2025, Mr. Martin Houston was elected to the Company’s board of directors to serve until the 2026 annual meeting of shareholders or until a successor is duly elected and qualified or until his earlier death, resignation, disqualification or removal.</w:t>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In March 2026, Mr. Martin Houston was appointed as Chairman of the board of directors with Keith Forman moving to a new role as Vice-Chairman of the board of directors.</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Developments in 2024</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Conversion and Name Change</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On the Effective Date, the Partnership completed its conversion from a Marshall Islands limited partnership to a Marshall Islands corporation in accordance with a Plan of Conversion pursuant to which, among other things:</w:t>
      </w:r>
    </w:p>
    <w:p>
      <w:pPr>
        <w:spacing w:after="0" w:line="114" w:lineRule="exact"/>
        <w:rPr>
          <w:sz w:val="20"/>
          <w:szCs w:val="20"/>
          <w:color w:val="auto"/>
        </w:rPr>
      </w:pPr>
    </w:p>
    <w:p>
      <w:pPr>
        <w:ind w:left="960" w:hanging="481"/>
        <w:spacing w:after="0" w:line="292" w:lineRule="auto"/>
        <w:tabs>
          <w:tab w:leader="none" w:pos="960" w:val="left"/>
        </w:tabs>
        <w:numPr>
          <w:ilvl w:val="0"/>
          <w:numId w:val="3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Partnership converted from a Marshall Islands limited partnership previously named “Capital Product Partners L.P.” to a Marshall Islands corporation named “Capital Clean Energy Carriers Corp.”;</w:t>
      </w:r>
    </w:p>
    <w:p>
      <w:pPr>
        <w:spacing w:after="0" w:line="114" w:lineRule="exact"/>
        <w:rPr>
          <w:rFonts w:ascii="Arial" w:cs="Arial" w:eastAsia="Arial" w:hAnsi="Arial"/>
          <w:sz w:val="13"/>
          <w:szCs w:val="13"/>
          <w:b w:val="1"/>
          <w:bCs w:val="1"/>
          <w:color w:val="auto"/>
        </w:rPr>
      </w:pPr>
    </w:p>
    <w:p>
      <w:pPr>
        <w:ind w:left="960" w:hanging="481"/>
        <w:spacing w:after="0"/>
        <w:tabs>
          <w:tab w:leader="none" w:pos="960" w:val="left"/>
        </w:tabs>
        <w:numPr>
          <w:ilvl w:val="0"/>
          <w:numId w:val="3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each of the common units of the Partnership outstanding as of immediately prior to the Effective Date was converted into one common share, par value $0.01 per share, of the Company; and</w:t>
      </w:r>
    </w:p>
    <w:p>
      <w:pPr>
        <w:spacing w:after="0" w:line="169" w:lineRule="exact"/>
        <w:rPr>
          <w:rFonts w:ascii="Arial" w:cs="Arial" w:eastAsia="Arial" w:hAnsi="Arial"/>
          <w:sz w:val="13"/>
          <w:szCs w:val="13"/>
          <w:b w:val="1"/>
          <w:bCs w:val="1"/>
          <w:color w:val="auto"/>
        </w:rPr>
      </w:pPr>
    </w:p>
    <w:p>
      <w:pPr>
        <w:ind w:left="960" w:hanging="481"/>
        <w:spacing w:after="0" w:line="292" w:lineRule="auto"/>
        <w:tabs>
          <w:tab w:leader="none" w:pos="960" w:val="left"/>
        </w:tabs>
        <w:numPr>
          <w:ilvl w:val="0"/>
          <w:numId w:val="3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348,570 General Partner units of the Partnership and all of the incentive distribution rights of the Partnership, in each case, outstanding as of immediately prior to the Effective Date, were converted into an aggregate of 3,500,000 common shares.</w:t>
      </w:r>
    </w:p>
    <w:p>
      <w:pPr>
        <w:spacing w:after="0" w:line="115"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Following the Conversion, Capital Maritime, together with its affiliates CGP LLC and Capital Gas beneficially owned approximately 59.0% of the outstanding common shares of the Company (based on 58,387,313 common shares then outstanding and excluding 1,551,061 common shares then held in treasury).</w:t>
      </w:r>
    </w:p>
    <w:p>
      <w:pPr>
        <w:spacing w:after="0" w:line="114"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The Conversion and the Name Change were approved by the conflicts committee and our board of directors and we obtained unitholder approval for the Conversion and related actions by written consent of Capital Maritime and its affiliates, which hold a majority of our outstanding common units, pursuant to Section 13.11 of our former Second Amended and Restated Agreement of Limited Partnership.</w:t>
      </w:r>
    </w:p>
    <w:p>
      <w:pPr>
        <w:spacing w:after="0" w:line="114"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Following the Conversion on the Effective Date, common units ceased to trade on Nasdaq and common shares commenced trading on Nasdaq under the name “Capital Clean Energy Carriers Corp.” with the ticker symbol “CCEC”.</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Vessel Acquisitions and Advances for Vessels Under Construction</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Pursuant to the Umbrella Agreement, we have acquired from Capital Maritime the shares of the vessel-owning companies of the following Umbrella Agreement Vessels.</w:t>
      </w:r>
    </w:p>
    <w:p>
      <w:pPr>
        <w:spacing w:after="0" w:line="170" w:lineRule="exact"/>
        <w:rPr>
          <w:sz w:val="20"/>
          <w:szCs w:val="20"/>
          <w:color w:val="auto"/>
        </w:rPr>
      </w:pPr>
    </w:p>
    <w:p>
      <w:pPr>
        <w:jc w:val="both"/>
        <w:ind w:left="960" w:hanging="481"/>
        <w:spacing w:after="0" w:line="263" w:lineRule="auto"/>
        <w:tabs>
          <w:tab w:leader="none" w:pos="960" w:val="left"/>
        </w:tabs>
        <w:numPr>
          <w:ilvl w:val="0"/>
          <w:numId w:val="3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On June 28, 2024, we took delivery of the LNG/C Apostolos. The vessel commenced a charter for 10.5 years with Jera, who maintain an option to extend by an additional three years. In addition to a deposit of $30.2 million, which was paid upon the closing of the Umbrella Agreement and netted against the amount due from Capital Maritime pursuant to the Standby Purchase Agreement (as defined below), the vessel acquisition was financed with $77.5 million cash at hand, a new senior secured bridge loan facility for an amount of $192.0 million and a drawdown of $2.3 million under the unsecured seller’s credit in an amount up to $220.0 million issued by Capital Maritime to the Company on November 13, 2023 in connection with the Umbrella Agreement to finance a portion of the purchase price for the Umbrella Agreement Vessels (the “Seller’s Credit”). The bridge facility was repaid upon the drawdown of a $240.0 million Japanese operating lease with a call option (a “Jolco”) on July 16, 2024, with escalating amortization, an eight-year term and a balloon payment of $166.8 million due in July 2032.</w:t>
      </w:r>
    </w:p>
    <w:p>
      <w:pPr>
        <w:spacing w:after="0" w:line="134"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56</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57" w:name="page58"/>
    <w:bookmarkEnd w:id="57"/>
    <w:p>
      <w:pPr>
        <w:jc w:val="both"/>
        <w:ind w:left="960" w:hanging="481"/>
        <w:spacing w:after="0" w:line="268" w:lineRule="auto"/>
        <w:tabs>
          <w:tab w:leader="none" w:pos="960" w:val="left"/>
        </w:tabs>
        <w:numPr>
          <w:ilvl w:val="0"/>
          <w:numId w:val="4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On June 5, 2024, we took delivery of the LNG/C Aktoras. The vessel commenced a seven-year bareboat charter with BGT, who maintain an option to extend by an additional three years. In addition to a deposit of $31.1 million, which was paid upon the closing of the Umbrella Agreement and netted against the amount due from Capital Maritime pursuant to the Standby Purchase Agreement, the vessel acquisition was financed with a drawdown of $39.9 million under the Seller’s Credit and a new senior secured loan facility for an amount of $240.0 million, repayable in 28 equal quarterly installments of $3.3 million and a balloon payment of $149.0 million together with the final quarterly installment in June 2031.</w:t>
      </w:r>
    </w:p>
    <w:p>
      <w:pPr>
        <w:spacing w:after="0" w:line="130" w:lineRule="exact"/>
        <w:rPr>
          <w:rFonts w:ascii="Arial" w:cs="Arial" w:eastAsia="Arial" w:hAnsi="Arial"/>
          <w:sz w:val="13"/>
          <w:szCs w:val="13"/>
          <w:b w:val="1"/>
          <w:bCs w:val="1"/>
          <w:color w:val="auto"/>
        </w:rPr>
      </w:pPr>
    </w:p>
    <w:p>
      <w:pPr>
        <w:jc w:val="both"/>
        <w:ind w:left="960" w:hanging="481"/>
        <w:spacing w:after="0" w:line="274" w:lineRule="auto"/>
        <w:tabs>
          <w:tab w:leader="none" w:pos="960" w:val="left"/>
        </w:tabs>
        <w:numPr>
          <w:ilvl w:val="0"/>
          <w:numId w:val="4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On May 31, 2024, the Company took delivery of the LNG/C Assos. The vessel commenced a ten-year time charter with Tokyo Gas. In addition to a deposit of $27.7 million, which was paid upon the closing of the Umbrella Agreement and netted against the amount due from Capital Maritime pursuant to the Standby Purchase Agreement, the vessel acquisition was financed with $9.3 million cash at hand and $240.0 million of a Jolco, with escalating amortization, an eight-year term and a balloon payment of $164.4 million due in May 2032.</w:t>
      </w:r>
    </w:p>
    <w:p>
      <w:pPr>
        <w:spacing w:after="0" w:line="126" w:lineRule="exact"/>
        <w:rPr>
          <w:rFonts w:ascii="Arial" w:cs="Arial" w:eastAsia="Arial" w:hAnsi="Arial"/>
          <w:sz w:val="13"/>
          <w:szCs w:val="13"/>
          <w:b w:val="1"/>
          <w:bCs w:val="1"/>
          <w:color w:val="auto"/>
        </w:rPr>
      </w:pPr>
    </w:p>
    <w:p>
      <w:pPr>
        <w:jc w:val="both"/>
        <w:ind w:left="960" w:hanging="481"/>
        <w:spacing w:after="0" w:line="268" w:lineRule="auto"/>
        <w:tabs>
          <w:tab w:leader="none" w:pos="960" w:val="left"/>
        </w:tabs>
        <w:numPr>
          <w:ilvl w:val="0"/>
          <w:numId w:val="4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On January 2, 2024, the Company took delivery of the LNG/C Axios II. After initially trading under short-term time charters, the vessel has since commenced a seven-year bareboat charter with BGT. BGT maintains an option to extend the charter by an additional three years. In addition to a deposit of $31.4 million, which was paid upon the closing of the Umbrella Agreement and netted against the amount due from Capital Maritime pursuant to the Standby Purchase Agreement, the vessel acquisition was financed by a new senior secured loan facility in the amount of $190.0 million with a duration of seven years from the acquisition of the vessel and a draw down of $92.6 million under the Seller’s Credit.</w:t>
      </w:r>
    </w:p>
    <w:p>
      <w:pPr>
        <w:spacing w:after="0" w:line="130"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We expect to close the remaining acquisitions of each of the vessel-owning companies of the Umbrella Agreement Vessels that have not been delivered to the Company upon each vessel’s delivery from Hyundai. The remaining purchase price with respect to each Umbrella Agreement Vessel will be paid upon delivery of such vessel and closing of the applicable Vessel SPA. The remaining Umbrella Agreement Vessels are expected to be delivered to the Company by 2027.</w:t>
      </w:r>
    </w:p>
    <w:p>
      <w:pPr>
        <w:spacing w:after="0" w:line="127"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On June 3, 2024, we announced an investment in the Gas Fleet for a total amount of $756.0 million, with expected deliveries between the first quarter of 2026 and the third quarter of 2027. On June 17, 2024, and upon entry into 10 separate share purchase agreements with Capital Maritime, we paid to Capital Maritime $74.7 million to acquire 100% of the equity interests in each of the vessel-owning companies of each of the vessels in the Gas Fleet, representing advances made to the shipyards by Capital Maritime under certain of the shipbuilding contracts plus a premium of $11.5 million.</w:t>
      </w:r>
    </w:p>
    <w:p>
      <w:pPr>
        <w:spacing w:after="0" w:line="127"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As of the date of this Annual Report, our Under Construction Fleet consists of nine Newbuild LNG/C Vessels and nine Gas Fleet vessels that have not yet been delivered to the Company. See “Item 4. Information on the Company—A. History and Development of the Company—Developments in 2025 and up to the filing of this Annual Report—Vessel Acquisitions and Advances for Vessels Under Construction” for a summary of the vessels comprising the Under Construction Fleet. See “Item 5. Operating and Financial Review and Prospects—B. Liquidity and Capital Resources” for details of our commitments relating to our Under Construction Fleet.</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Financing Arrangements</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On August 23, 2024, we entered into two separate sale and lease back agreements for the vessels LNG/C Asklipios and the LNG/C Attalos in an amount of $162.5 million each to refinance the outstanding balance of $250.4 million under the sale and lease back arrangements that the vessel-owning companies had entered into with CMB Financial Leasing Co., Ltd (“CMBFL”) in 2021. The new lease agreements of the LNG/C Attalos and the LNG/C Asklipios have remaining durations, starting from August 29, 2024, when the refinancing took place, of 7 years.</w:t>
      </w:r>
    </w:p>
    <w:p>
      <w:pPr>
        <w:spacing w:after="0" w:line="127"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57</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58" w:name="page59"/>
    <w:bookmarkEnd w:id="58"/>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On June 25, 2024, we entered into a new credit facility with National Bank of Greece S.A. (“NBG”), of up to $155.0 million, in order to fully repay the debt facility with ING Bank N.V., London Branch (“ING”) that we assumed in December 2021 amounting to $99.4 million, to partially finance the acquisition of the vessel-owning company of the LNG/C Aristidis I and for general corporate purposes. We drew down the full amount of the new facility on June 26, 2024. The facility has a duration of seven years.</w:t>
      </w:r>
    </w:p>
    <w:p>
      <w:pPr>
        <w:spacing w:after="0" w:line="127"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On June 25, 2024, we entered into a Japanese operating lease agreement with a call option of up to $240.0 million, with the purpose of replacing the bridge debt facility with BNP Paribas (“BNP”) that we entered into on June 20, 2024 (the “2024 – LNG/C Apostolos Jolco”) amounting to $192.0 million, to partially finance the acquisition of the vessel-owning company of the LNG/C Apostolos. We drew down the full amount of the 2024 – LNG/C Apostolos Jolco on July 16, 2024. The sale and lease back agreement has a duration of eight years.</w:t>
      </w:r>
    </w:p>
    <w:p>
      <w:pPr>
        <w:spacing w:after="0" w:line="127"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On May 31, 2024, we entered into a new credit facility with Piraeus Bank S.A. (“Piraeus”), of up to $240.0 million (the “2024 – LNG/C Aktoras credit facility”), in order to partially finance the acquisition of the vessel-owning company of the LNG/C Aktoras. We drew down the full amount of the facility in June 2024. The facility has a duration of seven years.</w:t>
      </w:r>
    </w:p>
    <w:p>
      <w:pPr>
        <w:spacing w:after="0" w:line="114"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On May 31, 2024, the vessel-owning company of the LNG/C Assos, upon the completion of the acquisition of the vessel from Capital Maritime, drew down in full the $240.0 million sale and lease back agreement (the “2023 Jolco LNG/C Assos”) of up to $240.0 million that it had entered into on December 22, 2023 for the purpose of partially financing the acquisition of the shares of the vessel-owning company of the LNG/C Assos, with the Company acting as a parent guarantor.</w:t>
      </w:r>
    </w:p>
    <w:p>
      <w:pPr>
        <w:spacing w:after="0" w:line="127"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On May 14, 2024, we agreed with Bank of Communications Financial Leasing Co., Ltd (“Bocomm”) to amend certain of the terms included in two separate sale and lease back agreements that the companies owning the vessels LNG/C Aristos I and the LNG/C Aristarchos had entered into with Bocomm in 2021. Specifically, effective from May 14, 2024, we agreed to reduce the interest we pay on the outstanding amount and extended the maturity for both facilities by two years.</w:t>
      </w:r>
    </w:p>
    <w:p>
      <w:pPr>
        <w:spacing w:after="0" w:line="127"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On January 2, 2024, we assumed a syndicated credit facility led by ING, in an amount of $190.0 million, with a duration of seven years, for the purpose of partially financing the acquisition of the shares of the company owning the LNG/C Axios II.</w:t>
      </w:r>
    </w:p>
    <w:p>
      <w:pPr>
        <w:spacing w:after="0" w:line="114" w:lineRule="exact"/>
        <w:rPr>
          <w:sz w:val="20"/>
          <w:szCs w:val="20"/>
          <w:color w:val="auto"/>
        </w:rPr>
      </w:pPr>
    </w:p>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On January 2, 2024, upon the delivery of the LNG/C Axios II, we utilized $92.6 million under the Seller’s Credit. On February 28, March 11 and April 24, 2024, after the deliveries of the M/V Long Beach Express, the M/V Akadimos and the M/V Athenian, to their new owners, we repaid the amounts outstanding under the Seller’s Credit of $12.8 million, $40.0 million and $39.8 million, respectively, leaving the remaining unutilized amount at $127.4 million. Following the sales of the M/V Athenian, the M/V Athos (April 22, 2024), the M/V Seattle Express (April 26, 2024), the M/V Aristomenis (May 3, 2024) and the M/V Fos Express (May 3, 2024), the unutilized amount under the Seller’s Credit was automatically reduced by $85.2 million to $42.2 million. On June 5 and June 28, 2024, upon the deliveries of the LNG/C Aktoras and the LNG/C Apostolos, we utilized the remaining unutilized amount of $42.2 million, which we subsequently repaid in full on November 26, 2024, following the delivery of the M/V Hyundai Premium to its new owner. There are no amounts outstanding or remaining unutilized under the Seller’s Credit.</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See “Item 5. Operating and Financial Review and Prospects—B. Liquidity and Capital Resources—Borrowings (Financing Arrangements)” below for information regarding our financing arrangements.</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Vessel Disposals</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On September 12, 2024, we entered into five agreements for the sale of five container sister vessels: the M/V Hyundai Premium, the M/V Hyundai Paramount, the M/V Hyundai Prestige, the M/V Hyundai Privilege and the M/V Hyundai Platinum, (each 63,010 DWT/ 5,023 TEU container vessel, built 2013 by Hyundai Heavy Industries Co., Ltd., S. Korea) to an unaffiliated party. The vessels were delivered to the buyer on November 22, 2024, December 20, 2024, December 5, 2024, January 10, 2025 and March 10, 2025, respectively.</w:t>
      </w:r>
    </w:p>
    <w:p>
      <w:pPr>
        <w:spacing w:after="0" w:line="127"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58</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59" w:name="page60"/>
    <w:bookmarkEnd w:id="59"/>
    <w:p>
      <w:pPr>
        <w:jc w:val="both"/>
        <w:ind w:firstLine="479"/>
        <w:spacing w:after="0" w:line="286" w:lineRule="auto"/>
        <w:rPr>
          <w:sz w:val="20"/>
          <w:szCs w:val="20"/>
          <w:color w:val="auto"/>
        </w:rPr>
      </w:pPr>
      <w:r>
        <w:rPr>
          <w:rFonts w:ascii="Times New Roman" w:cs="Times New Roman" w:eastAsia="Times New Roman" w:hAnsi="Times New Roman"/>
          <w:sz w:val="13"/>
          <w:szCs w:val="13"/>
          <w:color w:val="auto"/>
        </w:rPr>
        <w:t>On March 1, 2024, we agreed to sell the M/V Athenian, the M/V Athos and the M/V Aristomenis (118,834, 118,888 and 118,712 DWT, respectively, 9,954 TEU container vessels, built in 2011 by Samsung Heavy Industries Co., Ltd.) to an unaffiliated party. The M/V Athenian and the M/V Athos were delivered to the buyer on April 22, 2024 and the M/V Aristomenis was delivered to the buyer on May 3, 2024.</w:t>
      </w:r>
    </w:p>
    <w:p>
      <w:pPr>
        <w:spacing w:after="0" w:line="28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On February 26, 2024, the M/V Long Beach Express (68,618 DWT / 5,100 TEU, container vessels built in 2008 by Hanjin Heavy Industries &amp; Construction Co., Ltd., South Korea), which we had agreed to sell to an unaffiliated party on December 15, 2023, was delivered to its new owner.</w:t>
      </w:r>
    </w:p>
    <w:p>
      <w:pPr>
        <w:spacing w:after="0" w:line="114"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On February 14, 2024, we agreed to sell the two remaining Panamax container vessels in our fleet, the M/V Fos Express and the M/V Seattle Express (68,579 and 68,411 DWT, respectively, 5,100 TEU, container vessels, built in 2008 by Hanjin Heavy Industries &amp; Construction Co., Ltd., South Korea) to an unaffiliated party. The M/V Seattle Express was delivered to the buyer on April 26, 2024 and the M/V Fos Express was delivered to the buyer on May 3, 2024.</w:t>
      </w:r>
    </w:p>
    <w:p>
      <w:pPr>
        <w:spacing w:after="0" w:line="127"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On January 31, 2024, we agreed to sell the M/V Akadimos (115,534 DWT / 9,288 TEU, Eco-Flex, Wide Beam container vessel, built in 2015 by Daewoo-Mangalia Heavy Industries S.Á., Romania) to an unaffiliated party. The M/V Akadimos was delivered to its new owner on March 8, 2024.</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Unit Repurchase Program</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During the year ended December 31, 2024, we did not repurchased any units, under the Unit Repurchase Program (as defined below). The Unit Repurchase Program expired in January 2025.</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Developments in 2023</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LNG/C Vessel Acquisitions and Related Commitments</w:t>
      </w:r>
    </w:p>
    <w:p>
      <w:pPr>
        <w:spacing w:after="0" w:line="172"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On November 13, 2023, we entered into the Umbrella Agreement with Capital Maritime and CGP LLC. Pursuant to the Umbrella Agreement, we agreed, among other things, to purchase the Umbrella Agreement Vessels from Capital Maritime for an aggregate acquisition price of $3,130.0 million (of which $2,023.8 million is payable to Capital Maritime). Each Umbrella Agreement Vessel has or will have a capacity of 174,000 CBM and was built or is under construction at Hyundai. On December 21, 2023 we closed the Umbrella Agreement and entered into 11 Vessel SPAs to acquire 100% of the equity interests in each vessel-owning company of the Umbrella Agreement Vessels.</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 summary of the vessels comprising the Umbrella Agreement Vessels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2"/>
                <w:szCs w:val="12"/>
                <w:b w:val="1"/>
                <w:bCs w:val="1"/>
                <w:color w:val="auto"/>
              </w:rPr>
              <w:t>Hull Number/Vessel name</w:t>
            </w:r>
          </w:p>
        </w:tc>
        <w:tc>
          <w:tcPr>
            <w:tcW w:w="140" w:type="dxa"/>
            <w:vAlign w:val="bottom"/>
          </w:tcPr>
          <w:p>
            <w:pPr>
              <w:spacing w:after="0"/>
              <w:rPr>
                <w:sz w:val="13"/>
                <w:szCs w:val="13"/>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CBM</w:t>
            </w:r>
          </w:p>
        </w:tc>
        <w:tc>
          <w:tcPr>
            <w:tcW w:w="140" w:type="dxa"/>
            <w:vAlign w:val="bottom"/>
          </w:tcPr>
          <w:p>
            <w:pPr>
              <w:spacing w:after="0"/>
              <w:rPr>
                <w:sz w:val="13"/>
                <w:szCs w:val="13"/>
                <w:color w:val="auto"/>
              </w:rPr>
            </w:pPr>
          </w:p>
        </w:tc>
        <w:tc>
          <w:tcPr>
            <w:tcW w:w="3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Delivery/Expected delivery date to the Company</w:t>
            </w:r>
          </w:p>
        </w:tc>
        <w:tc>
          <w:tcPr>
            <w:tcW w:w="60" w:type="dxa"/>
            <w:vAlign w:val="bottom"/>
          </w:tcPr>
          <w:p>
            <w:pPr>
              <w:spacing w:after="0"/>
              <w:rPr>
                <w:sz w:val="13"/>
                <w:szCs w:val="13"/>
                <w:color w:val="auto"/>
              </w:rPr>
            </w:pPr>
          </w:p>
        </w:tc>
      </w:tr>
      <w:tr>
        <w:trPr>
          <w:trHeight w:val="152"/>
        </w:trPr>
        <w:tc>
          <w:tcPr>
            <w:tcW w:w="60" w:type="dxa"/>
            <w:vAlign w:val="bottom"/>
            <w:shd w:val="clear" w:color="auto" w:fill="CCEEFF"/>
          </w:tcPr>
          <w:p>
            <w:pPr>
              <w:spacing w:after="0"/>
              <w:rPr>
                <w:sz w:val="13"/>
                <w:szCs w:val="13"/>
                <w:color w:val="auto"/>
              </w:rPr>
            </w:pP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Hull 3315 – LNG/C Amore Mio I</w:t>
            </w:r>
          </w:p>
        </w:tc>
        <w:tc>
          <w:tcPr>
            <w:tcW w:w="372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174,000</w:t>
            </w:r>
          </w:p>
        </w:tc>
        <w:tc>
          <w:tcPr>
            <w:tcW w:w="140" w:type="dxa"/>
            <w:vAlign w:val="bottom"/>
            <w:shd w:val="clear" w:color="auto" w:fill="CCEEFF"/>
          </w:tcPr>
          <w:p>
            <w:pPr>
              <w:spacing w:after="0"/>
              <w:rPr>
                <w:sz w:val="13"/>
                <w:szCs w:val="13"/>
                <w:color w:val="auto"/>
              </w:rPr>
            </w:pPr>
          </w:p>
        </w:tc>
        <w:tc>
          <w:tcPr>
            <w:tcW w:w="364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December 21, 2023</w:t>
            </w:r>
          </w:p>
        </w:tc>
      </w:tr>
      <w:tr>
        <w:trPr>
          <w:trHeight w:val="160"/>
        </w:trPr>
        <w:tc>
          <w:tcPr>
            <w:tcW w:w="60" w:type="dxa"/>
            <w:vAlign w:val="bottom"/>
          </w:tcPr>
          <w:p>
            <w:pPr>
              <w:spacing w:after="0"/>
              <w:rPr>
                <w:sz w:val="13"/>
                <w:szCs w:val="13"/>
                <w:color w:val="auto"/>
              </w:rPr>
            </w:pP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Initial Vessels</w:t>
            </w:r>
          </w:p>
        </w:tc>
        <w:tc>
          <w:tcPr>
            <w:tcW w:w="1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60" w:type="dxa"/>
            <w:vAlign w:val="bottom"/>
            <w:shd w:val="clear" w:color="auto" w:fill="CCEEFF"/>
          </w:tcPr>
          <w:p>
            <w:pPr>
              <w:spacing w:after="0"/>
              <w:rPr>
                <w:sz w:val="13"/>
                <w:szCs w:val="13"/>
                <w:color w:val="auto"/>
              </w:rPr>
            </w:pP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Hull 3316 – LNG/C Axios II</w:t>
            </w:r>
          </w:p>
        </w:tc>
        <w:tc>
          <w:tcPr>
            <w:tcW w:w="372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174,000</w:t>
            </w:r>
          </w:p>
        </w:tc>
        <w:tc>
          <w:tcPr>
            <w:tcW w:w="140" w:type="dxa"/>
            <w:vAlign w:val="bottom"/>
            <w:shd w:val="clear" w:color="auto" w:fill="CCEEFF"/>
          </w:tcPr>
          <w:p>
            <w:pPr>
              <w:spacing w:after="0"/>
              <w:rPr>
                <w:sz w:val="13"/>
                <w:szCs w:val="13"/>
                <w:color w:val="auto"/>
              </w:rPr>
            </w:pPr>
          </w:p>
        </w:tc>
        <w:tc>
          <w:tcPr>
            <w:tcW w:w="364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January 2, 2024</w:t>
            </w:r>
          </w:p>
        </w:tc>
      </w:tr>
      <w:tr>
        <w:trPr>
          <w:trHeight w:val="160"/>
        </w:trPr>
        <w:tc>
          <w:tcPr>
            <w:tcW w:w="60" w:type="dxa"/>
            <w:vAlign w:val="bottom"/>
          </w:tcPr>
          <w:p>
            <w:pPr>
              <w:spacing w:after="0"/>
              <w:rPr>
                <w:sz w:val="13"/>
                <w:szCs w:val="13"/>
                <w:color w:val="auto"/>
              </w:rPr>
            </w:pP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Hull 3341 – LNG/C Assos</w:t>
            </w:r>
          </w:p>
        </w:tc>
        <w:tc>
          <w:tcPr>
            <w:tcW w:w="3720" w:type="dxa"/>
            <w:vAlign w:val="bottom"/>
            <w:gridSpan w:val="2"/>
          </w:tcPr>
          <w:p>
            <w:pPr>
              <w:jc w:val="center"/>
              <w:ind w:left="53"/>
              <w:spacing w:after="0"/>
              <w:rPr>
                <w:sz w:val="20"/>
                <w:szCs w:val="20"/>
                <w:color w:val="auto"/>
              </w:rPr>
            </w:pPr>
            <w:r>
              <w:rPr>
                <w:rFonts w:ascii="Times New Roman" w:cs="Times New Roman" w:eastAsia="Times New Roman" w:hAnsi="Times New Roman"/>
                <w:sz w:val="13"/>
                <w:szCs w:val="13"/>
                <w:color w:val="auto"/>
              </w:rPr>
              <w:t>174,000</w:t>
            </w:r>
          </w:p>
        </w:tc>
        <w:tc>
          <w:tcPr>
            <w:tcW w:w="140" w:type="dxa"/>
            <w:vAlign w:val="bottom"/>
          </w:tcPr>
          <w:p>
            <w:pPr>
              <w:spacing w:after="0"/>
              <w:rPr>
                <w:sz w:val="13"/>
                <w:szCs w:val="13"/>
                <w:color w:val="auto"/>
              </w:rPr>
            </w:pPr>
          </w:p>
        </w:tc>
        <w:tc>
          <w:tcPr>
            <w:tcW w:w="36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color w:val="auto"/>
              </w:rPr>
              <w:t>May 31, 2024</w:t>
            </w:r>
          </w:p>
        </w:tc>
      </w:tr>
      <w:tr>
        <w:trPr>
          <w:trHeight w:val="160"/>
        </w:trPr>
        <w:tc>
          <w:tcPr>
            <w:tcW w:w="60" w:type="dxa"/>
            <w:vAlign w:val="bottom"/>
            <w:shd w:val="clear" w:color="auto" w:fill="CCEEFF"/>
          </w:tcPr>
          <w:p>
            <w:pPr>
              <w:spacing w:after="0"/>
              <w:rPr>
                <w:sz w:val="13"/>
                <w:szCs w:val="13"/>
                <w:color w:val="auto"/>
              </w:rPr>
            </w:pP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Hull 3342 – LNG/C Apostolos</w:t>
            </w:r>
          </w:p>
        </w:tc>
        <w:tc>
          <w:tcPr>
            <w:tcW w:w="372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174,000</w:t>
            </w:r>
          </w:p>
        </w:tc>
        <w:tc>
          <w:tcPr>
            <w:tcW w:w="140" w:type="dxa"/>
            <w:vAlign w:val="bottom"/>
            <w:shd w:val="clear" w:color="auto" w:fill="CCEEFF"/>
          </w:tcPr>
          <w:p>
            <w:pPr>
              <w:spacing w:after="0"/>
              <w:rPr>
                <w:sz w:val="13"/>
                <w:szCs w:val="13"/>
                <w:color w:val="auto"/>
              </w:rPr>
            </w:pPr>
          </w:p>
        </w:tc>
        <w:tc>
          <w:tcPr>
            <w:tcW w:w="364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rPr>
              <w:t>June 28, 2024</w:t>
            </w:r>
          </w:p>
        </w:tc>
      </w:tr>
      <w:tr>
        <w:trPr>
          <w:trHeight w:val="160"/>
        </w:trPr>
        <w:tc>
          <w:tcPr>
            <w:tcW w:w="60" w:type="dxa"/>
            <w:vAlign w:val="bottom"/>
          </w:tcPr>
          <w:p>
            <w:pPr>
              <w:spacing w:after="0"/>
              <w:rPr>
                <w:sz w:val="13"/>
                <w:szCs w:val="13"/>
                <w:color w:val="auto"/>
              </w:rPr>
            </w:pP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Hull 8140 – LNG/C Aktoras</w:t>
            </w:r>
          </w:p>
        </w:tc>
        <w:tc>
          <w:tcPr>
            <w:tcW w:w="3720" w:type="dxa"/>
            <w:vAlign w:val="bottom"/>
            <w:gridSpan w:val="2"/>
          </w:tcPr>
          <w:p>
            <w:pPr>
              <w:jc w:val="center"/>
              <w:ind w:left="53"/>
              <w:spacing w:after="0"/>
              <w:rPr>
                <w:sz w:val="20"/>
                <w:szCs w:val="20"/>
                <w:color w:val="auto"/>
              </w:rPr>
            </w:pPr>
            <w:r>
              <w:rPr>
                <w:rFonts w:ascii="Times New Roman" w:cs="Times New Roman" w:eastAsia="Times New Roman" w:hAnsi="Times New Roman"/>
                <w:sz w:val="13"/>
                <w:szCs w:val="13"/>
                <w:color w:val="auto"/>
              </w:rPr>
              <w:t>174,000</w:t>
            </w:r>
          </w:p>
        </w:tc>
        <w:tc>
          <w:tcPr>
            <w:tcW w:w="140" w:type="dxa"/>
            <w:vAlign w:val="bottom"/>
          </w:tcPr>
          <w:p>
            <w:pPr>
              <w:spacing w:after="0"/>
              <w:rPr>
                <w:sz w:val="13"/>
                <w:szCs w:val="13"/>
                <w:color w:val="auto"/>
              </w:rPr>
            </w:pPr>
          </w:p>
        </w:tc>
        <w:tc>
          <w:tcPr>
            <w:tcW w:w="36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color w:val="auto"/>
              </w:rPr>
              <w:t>June 5, 2024</w:t>
            </w:r>
          </w:p>
        </w:tc>
      </w:tr>
      <w:tr>
        <w:trPr>
          <w:trHeight w:val="160"/>
        </w:trPr>
        <w:tc>
          <w:tcPr>
            <w:tcW w:w="60" w:type="dxa"/>
            <w:vAlign w:val="bottom"/>
            <w:shd w:val="clear" w:color="auto" w:fill="CCEEFF"/>
          </w:tcPr>
          <w:p>
            <w:pPr>
              <w:spacing w:after="0"/>
              <w:rPr>
                <w:sz w:val="13"/>
                <w:szCs w:val="13"/>
                <w:color w:val="auto"/>
              </w:rPr>
            </w:pP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Hull 8198 – LNG/C Archimidis</w:t>
            </w:r>
          </w:p>
        </w:tc>
        <w:tc>
          <w:tcPr>
            <w:tcW w:w="372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174,000</w:t>
            </w:r>
          </w:p>
        </w:tc>
        <w:tc>
          <w:tcPr>
            <w:tcW w:w="140" w:type="dxa"/>
            <w:vAlign w:val="bottom"/>
            <w:shd w:val="clear" w:color="auto" w:fill="CCEEFF"/>
          </w:tcPr>
          <w:p>
            <w:pPr>
              <w:spacing w:after="0"/>
              <w:rPr>
                <w:sz w:val="13"/>
                <w:szCs w:val="13"/>
                <w:color w:val="auto"/>
              </w:rPr>
            </w:pPr>
          </w:p>
        </w:tc>
        <w:tc>
          <w:tcPr>
            <w:tcW w:w="364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rPr>
              <w:t>Expected June 2026</w:t>
            </w:r>
          </w:p>
        </w:tc>
      </w:tr>
      <w:tr>
        <w:trPr>
          <w:trHeight w:val="160"/>
        </w:trPr>
        <w:tc>
          <w:tcPr>
            <w:tcW w:w="60" w:type="dxa"/>
            <w:vAlign w:val="bottom"/>
          </w:tcPr>
          <w:p>
            <w:pPr>
              <w:spacing w:after="0"/>
              <w:rPr>
                <w:sz w:val="13"/>
                <w:szCs w:val="13"/>
                <w:color w:val="auto"/>
              </w:rPr>
            </w:pP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Hull 8199 – LNG/C Agamemnon</w:t>
            </w:r>
          </w:p>
        </w:tc>
        <w:tc>
          <w:tcPr>
            <w:tcW w:w="3720" w:type="dxa"/>
            <w:vAlign w:val="bottom"/>
            <w:gridSpan w:val="2"/>
          </w:tcPr>
          <w:p>
            <w:pPr>
              <w:jc w:val="center"/>
              <w:ind w:left="53"/>
              <w:spacing w:after="0"/>
              <w:rPr>
                <w:sz w:val="20"/>
                <w:szCs w:val="20"/>
                <w:color w:val="auto"/>
              </w:rPr>
            </w:pPr>
            <w:r>
              <w:rPr>
                <w:rFonts w:ascii="Times New Roman" w:cs="Times New Roman" w:eastAsia="Times New Roman" w:hAnsi="Times New Roman"/>
                <w:sz w:val="13"/>
                <w:szCs w:val="13"/>
                <w:color w:val="auto"/>
              </w:rPr>
              <w:t>174,000</w:t>
            </w:r>
          </w:p>
        </w:tc>
        <w:tc>
          <w:tcPr>
            <w:tcW w:w="140" w:type="dxa"/>
            <w:vAlign w:val="bottom"/>
          </w:tcPr>
          <w:p>
            <w:pPr>
              <w:spacing w:after="0"/>
              <w:rPr>
                <w:sz w:val="13"/>
                <w:szCs w:val="13"/>
                <w:color w:val="auto"/>
              </w:rPr>
            </w:pPr>
          </w:p>
        </w:tc>
        <w:tc>
          <w:tcPr>
            <w:tcW w:w="36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color w:val="auto"/>
              </w:rPr>
              <w:t>Expected June 2026</w:t>
            </w:r>
          </w:p>
        </w:tc>
      </w:tr>
      <w:tr>
        <w:trPr>
          <w:trHeight w:val="160"/>
        </w:trPr>
        <w:tc>
          <w:tcPr>
            <w:tcW w:w="60" w:type="dxa"/>
            <w:vAlign w:val="bottom"/>
            <w:shd w:val="clear" w:color="auto" w:fill="CCEEFF"/>
          </w:tcPr>
          <w:p>
            <w:pPr>
              <w:spacing w:after="0"/>
              <w:rPr>
                <w:sz w:val="13"/>
                <w:szCs w:val="13"/>
                <w:color w:val="auto"/>
              </w:rPr>
            </w:pP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Remaining Vessels</w:t>
            </w:r>
          </w:p>
        </w:tc>
        <w:tc>
          <w:tcPr>
            <w:tcW w:w="140" w:type="dxa"/>
            <w:vAlign w:val="bottom"/>
            <w:shd w:val="clear" w:color="auto" w:fill="CCEEFF"/>
          </w:tcPr>
          <w:p>
            <w:pPr>
              <w:spacing w:after="0"/>
              <w:rPr>
                <w:sz w:val="13"/>
                <w:szCs w:val="13"/>
                <w:color w:val="auto"/>
              </w:rPr>
            </w:pPr>
          </w:p>
        </w:tc>
        <w:tc>
          <w:tcPr>
            <w:tcW w:w="3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7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60"/>
        </w:trPr>
        <w:tc>
          <w:tcPr>
            <w:tcW w:w="6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Hull 8202</w:t>
            </w:r>
          </w:p>
        </w:tc>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LNG/C Alcaios I</w:t>
            </w:r>
          </w:p>
        </w:tc>
        <w:tc>
          <w:tcPr>
            <w:tcW w:w="3720" w:type="dxa"/>
            <w:vAlign w:val="bottom"/>
            <w:gridSpan w:val="2"/>
          </w:tcPr>
          <w:p>
            <w:pPr>
              <w:jc w:val="center"/>
              <w:ind w:left="53"/>
              <w:spacing w:after="0"/>
              <w:rPr>
                <w:sz w:val="20"/>
                <w:szCs w:val="20"/>
                <w:color w:val="auto"/>
              </w:rPr>
            </w:pPr>
            <w:r>
              <w:rPr>
                <w:rFonts w:ascii="Times New Roman" w:cs="Times New Roman" w:eastAsia="Times New Roman" w:hAnsi="Times New Roman"/>
                <w:sz w:val="13"/>
                <w:szCs w:val="13"/>
                <w:color w:val="auto"/>
              </w:rPr>
              <w:t>174,000</w:t>
            </w:r>
          </w:p>
        </w:tc>
        <w:tc>
          <w:tcPr>
            <w:tcW w:w="140" w:type="dxa"/>
            <w:vAlign w:val="bottom"/>
          </w:tcPr>
          <w:p>
            <w:pPr>
              <w:spacing w:after="0"/>
              <w:rPr>
                <w:sz w:val="13"/>
                <w:szCs w:val="13"/>
                <w:color w:val="auto"/>
              </w:rPr>
            </w:pPr>
          </w:p>
        </w:tc>
        <w:tc>
          <w:tcPr>
            <w:tcW w:w="36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color w:val="auto"/>
              </w:rPr>
              <w:t>Expected July 2026</w:t>
            </w:r>
          </w:p>
        </w:tc>
      </w:tr>
      <w:tr>
        <w:trPr>
          <w:trHeight w:val="160"/>
        </w:trPr>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Hull 8203</w:t>
            </w:r>
          </w:p>
        </w:tc>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LNG/C Antaios I</w:t>
            </w:r>
          </w:p>
        </w:tc>
        <w:tc>
          <w:tcPr>
            <w:tcW w:w="372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174,000</w:t>
            </w:r>
          </w:p>
        </w:tc>
        <w:tc>
          <w:tcPr>
            <w:tcW w:w="140" w:type="dxa"/>
            <w:vAlign w:val="bottom"/>
            <w:shd w:val="clear" w:color="auto" w:fill="CCEEFF"/>
          </w:tcPr>
          <w:p>
            <w:pPr>
              <w:spacing w:after="0"/>
              <w:rPr>
                <w:sz w:val="13"/>
                <w:szCs w:val="13"/>
                <w:color w:val="auto"/>
              </w:rPr>
            </w:pPr>
          </w:p>
        </w:tc>
        <w:tc>
          <w:tcPr>
            <w:tcW w:w="364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rPr>
              <w:t>Expected November 2026</w:t>
            </w:r>
          </w:p>
        </w:tc>
      </w:tr>
      <w:tr>
        <w:trPr>
          <w:trHeight w:val="160"/>
        </w:trPr>
        <w:tc>
          <w:tcPr>
            <w:tcW w:w="6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Hull 8206</w:t>
            </w:r>
          </w:p>
        </w:tc>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LNG/C Athlos</w:t>
            </w:r>
          </w:p>
        </w:tc>
        <w:tc>
          <w:tcPr>
            <w:tcW w:w="3720" w:type="dxa"/>
            <w:vAlign w:val="bottom"/>
            <w:gridSpan w:val="2"/>
          </w:tcPr>
          <w:p>
            <w:pPr>
              <w:jc w:val="center"/>
              <w:ind w:left="53"/>
              <w:spacing w:after="0"/>
              <w:rPr>
                <w:sz w:val="20"/>
                <w:szCs w:val="20"/>
                <w:color w:val="auto"/>
              </w:rPr>
            </w:pPr>
            <w:r>
              <w:rPr>
                <w:rFonts w:ascii="Times New Roman" w:cs="Times New Roman" w:eastAsia="Times New Roman" w:hAnsi="Times New Roman"/>
                <w:sz w:val="13"/>
                <w:szCs w:val="13"/>
                <w:color w:val="auto"/>
              </w:rPr>
              <w:t>174,000</w:t>
            </w:r>
          </w:p>
        </w:tc>
        <w:tc>
          <w:tcPr>
            <w:tcW w:w="140" w:type="dxa"/>
            <w:vAlign w:val="bottom"/>
          </w:tcPr>
          <w:p>
            <w:pPr>
              <w:spacing w:after="0"/>
              <w:rPr>
                <w:sz w:val="13"/>
                <w:szCs w:val="13"/>
                <w:color w:val="auto"/>
              </w:rPr>
            </w:pPr>
          </w:p>
        </w:tc>
        <w:tc>
          <w:tcPr>
            <w:tcW w:w="36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color w:val="auto"/>
              </w:rPr>
              <w:t>Expected February 2027</w:t>
            </w:r>
          </w:p>
        </w:tc>
      </w:tr>
      <w:tr>
        <w:trPr>
          <w:trHeight w:val="160"/>
        </w:trPr>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Hull 8207</w:t>
            </w:r>
          </w:p>
        </w:tc>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LNG/C Archon</w:t>
            </w:r>
          </w:p>
        </w:tc>
        <w:tc>
          <w:tcPr>
            <w:tcW w:w="372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174,000</w:t>
            </w:r>
          </w:p>
        </w:tc>
        <w:tc>
          <w:tcPr>
            <w:tcW w:w="140" w:type="dxa"/>
            <w:vAlign w:val="bottom"/>
            <w:shd w:val="clear" w:color="auto" w:fill="CCEEFF"/>
          </w:tcPr>
          <w:p>
            <w:pPr>
              <w:spacing w:after="0"/>
              <w:rPr>
                <w:sz w:val="13"/>
                <w:szCs w:val="13"/>
                <w:color w:val="auto"/>
              </w:rPr>
            </w:pPr>
          </w:p>
        </w:tc>
        <w:tc>
          <w:tcPr>
            <w:tcW w:w="364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rPr>
              <w:t>Expected March 2027</w:t>
            </w:r>
          </w:p>
        </w:tc>
      </w:tr>
      <w:tr>
        <w:trPr>
          <w:trHeight w:val="289"/>
        </w:trPr>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720" w:type="dxa"/>
            <w:vAlign w:val="bottom"/>
            <w:gridSpan w:val="2"/>
          </w:tcPr>
          <w:p>
            <w:pPr>
              <w:jc w:val="right"/>
              <w:ind w:right="1700"/>
              <w:spacing w:after="0"/>
              <w:rPr>
                <w:sz w:val="20"/>
                <w:szCs w:val="20"/>
                <w:color w:val="auto"/>
              </w:rPr>
            </w:pPr>
            <w:r>
              <w:rPr>
                <w:rFonts w:ascii="Times New Roman" w:cs="Times New Roman" w:eastAsia="Times New Roman" w:hAnsi="Times New Roman"/>
                <w:sz w:val="13"/>
                <w:szCs w:val="13"/>
                <w:color w:val="auto"/>
              </w:rPr>
              <w:t>59</w:t>
            </w:r>
          </w:p>
        </w:tc>
        <w:tc>
          <w:tcPr>
            <w:tcW w:w="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9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8"/>
              </w:rPr>
              <w:t>Table of Contents</w:t>
            </w:r>
          </w:p>
        </w:tc>
      </w:tr>
      <w:tr>
        <w:trPr>
          <w:trHeight w:val="20"/>
        </w:trPr>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80"/>
          </w:cols>
          <w:pgMar w:left="300" w:top="546" w:right="319" w:bottom="1440" w:gutter="0" w:footer="0" w:header="0"/>
        </w:sectPr>
      </w:pPr>
    </w:p>
    <w:bookmarkStart w:id="60" w:name="page61"/>
    <w:bookmarkEnd w:id="60"/>
    <w:p>
      <w:pPr>
        <w:ind w:left="480"/>
        <w:spacing w:after="0"/>
        <w:rPr>
          <w:sz w:val="20"/>
          <w:szCs w:val="20"/>
          <w:color w:val="auto"/>
        </w:rPr>
      </w:pPr>
      <w:r>
        <w:rPr>
          <w:rFonts w:ascii="Times New Roman" w:cs="Times New Roman" w:eastAsia="Times New Roman" w:hAnsi="Times New Roman"/>
          <w:sz w:val="13"/>
          <w:szCs w:val="13"/>
          <w:color w:val="auto"/>
        </w:rPr>
        <w:t>Upon entry into the Vessel SPAs for the Initial Vessels, we paid to Capital Maritime a deposit of $174.4 million, or 10% of the aggregate acquisition price of such Initial Vessels.</w:t>
      </w:r>
    </w:p>
    <w:p>
      <w:pPr>
        <w:spacing w:after="0" w:line="170"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Upon entry into the Vessel SPAs for the Remaining Vessels, the Company paid Capital Maritime $138.1 million to acquire 100% of the equity interests in each of the vessel-owning companies of such Remaining Vessels.</w:t>
      </w:r>
    </w:p>
    <w:p>
      <w:pPr>
        <w:spacing w:after="0" w:line="114" w:lineRule="exact"/>
        <w:rPr>
          <w:sz w:val="20"/>
          <w:szCs w:val="20"/>
          <w:color w:val="auto"/>
        </w:rPr>
      </w:pPr>
    </w:p>
    <w:p>
      <w:pPr>
        <w:jc w:val="both"/>
        <w:ind w:firstLine="479"/>
        <w:spacing w:after="0" w:line="264" w:lineRule="auto"/>
        <w:rPr>
          <w:sz w:val="20"/>
          <w:szCs w:val="20"/>
          <w:color w:val="auto"/>
        </w:rPr>
      </w:pPr>
      <w:r>
        <w:rPr>
          <w:rFonts w:ascii="Times New Roman" w:cs="Times New Roman" w:eastAsia="Times New Roman" w:hAnsi="Times New Roman"/>
          <w:sz w:val="13"/>
          <w:szCs w:val="13"/>
          <w:color w:val="auto"/>
        </w:rPr>
        <w:t>To finance a portion of the purchase price for the Umbrella Agreement Vessels, the Company distributed rights to purchase common units (the “Rights”) to holders of common units on November 24, 2023 (the “Record Date”). The subscription price per common unit was $14.25 (the “Rights Offering Price”) (such offering, the “Rights Offering”). Pursuant to the Umbrella Agreement, Capital Maritime and the Company also entered into a Standby Purchase Agreement (the “Standby Purchase Agreement”), pursuant to which Capital Maritime purchased from the Company, at the Rights Offering Price, the number of common units offered pursuant to the Rights Offering that were not issued pursuant to existing unitholders’ exercise of their Rights, or 34,641,731 common units. The Umbrella Agreement and the Standby Purchase Agreement permitted the Company and Capital Maritime to net payments due to each other under the transactions contemplated by the Umbrella Agreement, including the Vessel SPAs and the Standby Purchase Agreement.</w:t>
      </w:r>
    </w:p>
    <w:p>
      <w:pPr>
        <w:spacing w:after="0" w:line="296"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On December 21, 2023, and upon entry into the Vessel SPAs for the Remaining Vessels, each of the four vessel-owning companies of the Remaining Vessels entered into a separate supervision agreement with Capital-Gas Management pursuant to which Capital-Gas Management will supervise the performance of the design, building, equipment, completion and delivery by the shipyard of the applicable Remaining Vessel. The aggregate consideration payable to Capital-Gas Management under each such agreement is $1.5 million, of which a third was payable upon signing, a third is payable on the date of the applicable Remaining Vessel’s steel cutting and the remaining third is payable upon such vessel’s date of delivery.</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following table describes the various amounts that were paid or deemed paid by each of the Company and Capital Maritime on December 21, 2023: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30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4940" w:type="dxa"/>
            <w:vAlign w:val="bottom"/>
            <w:vMerge w:val="restart"/>
          </w:tcPr>
          <w:p>
            <w:pPr>
              <w:ind w:left="860"/>
              <w:spacing w:after="0"/>
              <w:rPr>
                <w:sz w:val="20"/>
                <w:szCs w:val="20"/>
                <w:color w:val="auto"/>
              </w:rPr>
            </w:pPr>
            <w:r>
              <w:rPr>
                <w:rFonts w:ascii="Times New Roman" w:cs="Times New Roman" w:eastAsia="Times New Roman" w:hAnsi="Times New Roman"/>
                <w:sz w:val="13"/>
                <w:szCs w:val="13"/>
                <w:b w:val="1"/>
                <w:bCs w:val="1"/>
                <w:color w:val="auto"/>
              </w:rPr>
              <w:t>Method of Settlement</w:t>
            </w:r>
          </w:p>
        </w:tc>
        <w:tc>
          <w:tcPr>
            <w:tcW w:w="14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95"/>
        </w:trPr>
        <w:tc>
          <w:tcPr>
            <w:tcW w:w="4300" w:type="dxa"/>
            <w:vAlign w:val="bottom"/>
            <w:vMerge w:val="continue"/>
          </w:tcPr>
          <w:p>
            <w:pPr>
              <w:spacing w:after="0"/>
              <w:rPr>
                <w:sz w:val="8"/>
                <w:szCs w:val="8"/>
                <w:color w:val="auto"/>
              </w:rPr>
            </w:pPr>
          </w:p>
        </w:tc>
        <w:tc>
          <w:tcPr>
            <w:tcW w:w="4940" w:type="dxa"/>
            <w:vAlign w:val="bottom"/>
            <w:vMerge w:val="continue"/>
          </w:tcPr>
          <w:p>
            <w:pPr>
              <w:spacing w:after="0"/>
              <w:rPr>
                <w:sz w:val="8"/>
                <w:szCs w:val="8"/>
                <w:color w:val="auto"/>
              </w:rPr>
            </w:pPr>
          </w:p>
        </w:tc>
        <w:tc>
          <w:tcPr>
            <w:tcW w:w="2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(in U.S.$000’s)</w:t>
            </w:r>
          </w:p>
        </w:tc>
        <w:tc>
          <w:tcPr>
            <w:tcW w:w="0" w:type="dxa"/>
            <w:vAlign w:val="bottom"/>
          </w:tcPr>
          <w:p>
            <w:pPr>
              <w:spacing w:after="0"/>
              <w:rPr>
                <w:sz w:val="1"/>
                <w:szCs w:val="1"/>
                <w:color w:val="auto"/>
              </w:rPr>
            </w:pPr>
          </w:p>
        </w:tc>
      </w:tr>
      <w:tr>
        <w:trPr>
          <w:trHeight w:val="80"/>
        </w:trPr>
        <w:tc>
          <w:tcPr>
            <w:tcW w:w="4300" w:type="dxa"/>
            <w:vAlign w:val="bottom"/>
            <w:tcBorders>
              <w:bottom w:val="single" w:sz="8" w:color="auto"/>
            </w:tcBorders>
          </w:tcPr>
          <w:p>
            <w:pPr>
              <w:spacing w:after="0"/>
              <w:rPr>
                <w:sz w:val="6"/>
                <w:szCs w:val="6"/>
                <w:color w:val="auto"/>
              </w:rPr>
            </w:pPr>
          </w:p>
        </w:tc>
        <w:tc>
          <w:tcPr>
            <w:tcW w:w="494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3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i w:val="1"/>
                <w:iCs w:val="1"/>
                <w:color w:val="auto"/>
              </w:rPr>
              <w:t>From the Company to Capital Maritime</w:t>
            </w:r>
          </w:p>
        </w:tc>
        <w:tc>
          <w:tcPr>
            <w:tcW w:w="494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 deposit on the Initial Vessels</w:t>
            </w:r>
          </w:p>
        </w:tc>
        <w:tc>
          <w:tcPr>
            <w:tcW w:w="494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Netted against the amount due from Capital</w:t>
            </w: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174,400</w:t>
            </w:r>
          </w:p>
        </w:tc>
        <w:tc>
          <w:tcPr>
            <w:tcW w:w="0" w:type="dxa"/>
            <w:vAlign w:val="bottom"/>
          </w:tcPr>
          <w:p>
            <w:pPr>
              <w:spacing w:after="0"/>
              <w:rPr>
                <w:sz w:val="1"/>
                <w:szCs w:val="1"/>
                <w:color w:val="auto"/>
              </w:rPr>
            </w:pPr>
          </w:p>
        </w:tc>
      </w:tr>
      <w:tr>
        <w:trPr>
          <w:trHeight w:val="160"/>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Payment for the Remaining Vessels</w:t>
            </w:r>
          </w:p>
        </w:tc>
        <w:tc>
          <w:tcPr>
            <w:tcW w:w="49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Maritime pursuant to the Standby Purchase Agreement</w:t>
            </w:r>
          </w:p>
        </w:tc>
        <w:tc>
          <w:tcPr>
            <w:tcW w:w="14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138,100</w:t>
            </w:r>
          </w:p>
        </w:tc>
        <w:tc>
          <w:tcPr>
            <w:tcW w:w="0" w:type="dxa"/>
            <w:vAlign w:val="bottom"/>
          </w:tcPr>
          <w:p>
            <w:pPr>
              <w:spacing w:after="0"/>
              <w:rPr>
                <w:sz w:val="1"/>
                <w:szCs w:val="1"/>
                <w:color w:val="auto"/>
              </w:rPr>
            </w:pPr>
          </w:p>
        </w:tc>
      </w:tr>
      <w:tr>
        <w:trPr>
          <w:trHeight w:val="160"/>
        </w:trPr>
        <w:tc>
          <w:tcPr>
            <w:tcW w:w="4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Part of purchase price of LNG/C Amore Mio I</w:t>
            </w:r>
          </w:p>
        </w:tc>
        <w:tc>
          <w:tcPr>
            <w:tcW w:w="4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141,683</w:t>
            </w:r>
          </w:p>
        </w:tc>
        <w:tc>
          <w:tcPr>
            <w:tcW w:w="0" w:type="dxa"/>
            <w:vAlign w:val="bottom"/>
          </w:tcPr>
          <w:p>
            <w:pPr>
              <w:spacing w:after="0"/>
              <w:rPr>
                <w:sz w:val="1"/>
                <w:szCs w:val="1"/>
                <w:color w:val="auto"/>
              </w:rPr>
            </w:pPr>
          </w:p>
        </w:tc>
      </w:tr>
      <w:tr>
        <w:trPr>
          <w:trHeight w:val="160"/>
        </w:trPr>
        <w:tc>
          <w:tcPr>
            <w:tcW w:w="43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94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454,183</w:t>
            </w:r>
          </w:p>
        </w:tc>
        <w:tc>
          <w:tcPr>
            <w:tcW w:w="0" w:type="dxa"/>
            <w:vAlign w:val="bottom"/>
          </w:tcPr>
          <w:p>
            <w:pPr>
              <w:spacing w:after="0"/>
              <w:rPr>
                <w:sz w:val="1"/>
                <w:szCs w:val="1"/>
                <w:color w:val="auto"/>
              </w:rPr>
            </w:pPr>
          </w:p>
        </w:tc>
      </w:tr>
      <w:tr>
        <w:trPr>
          <w:trHeight w:val="150"/>
        </w:trPr>
        <w:tc>
          <w:tcPr>
            <w:tcW w:w="4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i w:val="1"/>
                <w:iCs w:val="1"/>
                <w:color w:val="auto"/>
              </w:rPr>
              <w:t>From Capital Maritime to the Company</w:t>
            </w:r>
          </w:p>
        </w:tc>
        <w:tc>
          <w:tcPr>
            <w:tcW w:w="49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Total amount due pursuant to the Standby Purchase Agreement</w:t>
            </w:r>
          </w:p>
        </w:tc>
        <w:tc>
          <w:tcPr>
            <w:tcW w:w="49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Netted against the total amount due from the Company</w:t>
            </w: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454,183</w:t>
            </w:r>
          </w:p>
        </w:tc>
        <w:tc>
          <w:tcPr>
            <w:tcW w:w="0" w:type="dxa"/>
            <w:vAlign w:val="bottom"/>
          </w:tcPr>
          <w:p>
            <w:pPr>
              <w:spacing w:after="0"/>
              <w:rPr>
                <w:sz w:val="1"/>
                <w:szCs w:val="1"/>
                <w:color w:val="auto"/>
              </w:rPr>
            </w:pPr>
          </w:p>
        </w:tc>
      </w:tr>
      <w:tr>
        <w:trPr>
          <w:trHeight w:val="160"/>
        </w:trPr>
        <w:tc>
          <w:tcPr>
            <w:tcW w:w="4300" w:type="dxa"/>
            <w:vAlign w:val="bottom"/>
          </w:tcPr>
          <w:p>
            <w:pPr>
              <w:spacing w:after="0"/>
              <w:rPr>
                <w:sz w:val="13"/>
                <w:szCs w:val="13"/>
                <w:color w:val="auto"/>
              </w:rPr>
            </w:pPr>
          </w:p>
        </w:tc>
        <w:tc>
          <w:tcPr>
            <w:tcW w:w="494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Cash settlement</w:t>
            </w:r>
          </w:p>
        </w:tc>
        <w:tc>
          <w:tcPr>
            <w:tcW w:w="14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39,462</w:t>
            </w:r>
          </w:p>
        </w:tc>
        <w:tc>
          <w:tcPr>
            <w:tcW w:w="0" w:type="dxa"/>
            <w:vAlign w:val="bottom"/>
          </w:tcPr>
          <w:p>
            <w:pPr>
              <w:spacing w:after="0"/>
              <w:rPr>
                <w:sz w:val="1"/>
                <w:szCs w:val="1"/>
                <w:color w:val="auto"/>
              </w:rPr>
            </w:pPr>
          </w:p>
        </w:tc>
      </w:tr>
      <w:tr>
        <w:trPr>
          <w:trHeight w:val="160"/>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94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493,645</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Capital Maritime also issued to the Company the Seller’s Credit. See Note 5 (Transaction with Related Parties) to our Financial Statements included herein.</w:t>
      </w:r>
    </w:p>
    <w:p>
      <w:pPr>
        <w:spacing w:after="0" w:line="160" w:lineRule="exact"/>
        <w:rPr>
          <w:sz w:val="20"/>
          <w:szCs w:val="20"/>
          <w:color w:val="auto"/>
        </w:rPr>
      </w:pPr>
    </w:p>
    <w:p>
      <w:pPr>
        <w:jc w:val="both"/>
        <w:ind w:firstLine="479"/>
        <w:spacing w:after="0" w:line="242" w:lineRule="auto"/>
        <w:rPr>
          <w:sz w:val="20"/>
          <w:szCs w:val="20"/>
          <w:color w:val="auto"/>
        </w:rPr>
      </w:pPr>
      <w:r>
        <w:rPr>
          <w:rFonts w:ascii="Times New Roman" w:cs="Times New Roman" w:eastAsia="Times New Roman" w:hAnsi="Times New Roman"/>
          <w:sz w:val="13"/>
          <w:szCs w:val="13"/>
          <w:color w:val="auto"/>
        </w:rPr>
        <w:t>Upon acquisition of the LNG/C Amore Mio I, we assumed indebtedness of $196.3 million in the form of a sale and leaseback transaction (the “2023 CMBFL - LNG/C AMI”) with CMBFL. The 2023 CMBFL - LNG/C AMI has a tenor of 10 years and offers the option to repurchase the vessel at a predetermined price after the first anniversary of the arrangement, together with a purchase obligation of $98.2 million at the expiration of the lease in October 2033. In December 2023, the vessel-owning company of the LNG/C Amore Mio I entered into floating rate management agreement with Capital-Gas Management, pursuant to which Capital-Gas Management provides certain commercial and technical management services.</w:t>
      </w:r>
    </w:p>
    <w:p>
      <w:pPr>
        <w:spacing w:after="0" w:line="136"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60</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61" w:name="page62"/>
    <w:bookmarkEnd w:id="61"/>
    <w:p>
      <w:pPr>
        <w:jc w:val="both"/>
        <w:ind w:firstLine="479"/>
        <w:spacing w:after="0"/>
        <w:rPr>
          <w:sz w:val="20"/>
          <w:szCs w:val="20"/>
          <w:color w:val="auto"/>
        </w:rPr>
      </w:pPr>
      <w:r>
        <w:rPr>
          <w:rFonts w:ascii="Times New Roman" w:cs="Times New Roman" w:eastAsia="Times New Roman" w:hAnsi="Times New Roman"/>
          <w:sz w:val="13"/>
          <w:szCs w:val="13"/>
          <w:color w:val="auto"/>
        </w:rPr>
        <w:t>The parties to the Umbrella Agreement also agreed to take certain post-closing actions, including (i) changing the name of the Partnership, (ii) committing to negotiate to agree procedures for the conversion of the Partnership from a Marshall Islands limited partnership to a corporation with customary corporate governance and (iii) committing to explore the disposition of the Company’s container vessels and to abstain from acquiring additional container vessels. In addition, Capital Maritime granted the Company, beginning on December 21, 2023, rights of first refusal over (i) transfers of LNG/C vessels owned by Capital Maritime to third-parties, opportunities to order newbuild LNG/C vessels of which Capital Maritime becomes aware and employment opportunities for LNG/C vessels of which Capital Maritime becomes aware, in each case, for a period ending on December 21, 2033, (ii) transfers to third parties of two certain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carriers (which the Company has subsequently agreed to acquire as part of the Gas Fleet) and two certain ammonia carriers ordered by Capital Maritime (the “New Energy Vessels”) for a period ending on the date on which Capital Maritime and its affiliates no longer beneficially own at least 25% of the issued and outstanding common shares and (iii) if the Company acquires a New Energy Vessel from Capital Maritime, employment opportunities for such New Energy Vessel of which Capital Maritime becomes aware, for a period ending on the date on which Capital Maritime and its affiliates no longer beneficially own at least 25% of the issued and outstanding common shares.</w:t>
      </w:r>
    </w:p>
    <w:p>
      <w:pPr>
        <w:spacing w:after="0" w:line="148"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As of the date of this Annual Report, our Under Construction Fleet consists of nine Newbuild LNG/C Vessels and nine Gas Fleet vessels that have not yet been delivered to the Company. See “Item 4. Information on the Company—A. History and Development of the Company—Developments in 2025 and up to the filing of this Annual Report—Vessel Acquisitions and Advances for Vessels Under Construction” for a summary of the vessels comprising the Under Construction Fleet. See “Item 5. Operating and Financial Review and Prospects—B. Liquidity and Capital Resources” for details of our commitments relating to our Under Construction Fleet.</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Other Vessel Acquisitions</w:t>
      </w:r>
    </w:p>
    <w:p>
      <w:pPr>
        <w:spacing w:after="0" w:line="172" w:lineRule="exact"/>
        <w:rPr>
          <w:sz w:val="20"/>
          <w:szCs w:val="20"/>
          <w:color w:val="auto"/>
        </w:rPr>
      </w:pPr>
    </w:p>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On January 10, 2023, we acquired from Capital Maritime the shares of the company owning the M/V Itajai Express for total consideration of $122.5 million, which was funded through a cash deposit of $6.0 million advanced in June 2022, $8.5 million of cash at hand and $108.0 million of debt through a new sale and lease back agreement we entered into on December 23, 2022 with a duration of eight years (the “2022 Jolco”). The M/V Itajai Express has started her ten-year employment with Hapag-Lloyd Aktiengesellschaft (“Hapag-Lloyd”), which, together with the optional periods, will expire in February 2039. In January 2023, the vessel-owning subsidiary of the M/V Itajai Express entered into a floating rate management agreement with Capital-Executive Ship Management Corp. (“Capital-Executive”), pursuant to which Capital-Executive provided certain commercial and technical management services. The agreement with Capital-Executive was replaced in July 2025, when the vessel-owning subsidiary of the M/V Itajai Express entered into a floating rate management agreement with Capital-Containers, pursuant to which Capital-Containers provides certain commercial and technical management services.</w:t>
      </w:r>
    </w:p>
    <w:p>
      <w:pPr>
        <w:spacing w:after="0" w:line="135"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On February 17, 2023, we acquired from Capital Maritime the shares of the company owning the LNG/C Asterix I, for total consideration of $230.0 million, which was funded through a cash deposit of $12.0 million advanced in June 2022, $34.0 million of cash at hand and $184.0 million of debt through a new sale and lease back agreement we entered into on February 7, 2023 with a duration of 10 years (the “2023 CMBFL - LNG/C”). The LNG/C Asterix I was built by Hyundai. The LNG/C Asterix I has started her seven-year employment with Hartree, which will expire in December 2029. In February 2023, the vessel-owning company of the LNG/C Asterix I entered into floating rate management agreement with Capital-Gas Management, pursuant to which Capital-Gas Management provides certain commercial and technical management services.</w:t>
      </w:r>
    </w:p>
    <w:p>
      <w:pPr>
        <w:spacing w:after="0" w:line="133"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On June 20, 2023, we acquired from Capital Maritime the shares of the company owning the M/V Buenaventura Express for total consideration of $122.5 million, which was funded through a cash deposit of $6.0 million advanced in June 2022, $16.5 million of cash at hand and $100.0 million of debt through a new credit facility we entered into on June 13, 2023 with a duration of eight years (the “2023 credit facility”). The M/V Buenaventura Express has started her ten-year employment with Hapag-Lloyd, which, together with the optional periods, will expire in August 2039. On October 29, 2025, we entered into a memorandum of agreement with a third party for the sale of the M/V Buenaventura Express. The vessel was delivered to its new owner on January 19, 2026.</w:t>
      </w:r>
    </w:p>
    <w:p>
      <w:pPr>
        <w:spacing w:after="0" w:line="131"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61</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62" w:name="page63"/>
    <w:bookmarkEnd w:id="62"/>
    <w:p>
      <w:pPr>
        <w:ind w:left="480"/>
        <w:spacing w:after="0"/>
        <w:rPr>
          <w:sz w:val="20"/>
          <w:szCs w:val="20"/>
          <w:color w:val="auto"/>
        </w:rPr>
      </w:pPr>
      <w:r>
        <w:rPr>
          <w:rFonts w:ascii="Times New Roman" w:cs="Times New Roman" w:eastAsia="Times New Roman" w:hAnsi="Times New Roman"/>
          <w:sz w:val="13"/>
          <w:szCs w:val="13"/>
          <w:i w:val="1"/>
          <w:iCs w:val="1"/>
          <w:color w:val="auto"/>
        </w:rPr>
        <w:t>Financing Arrangements</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On December 22, 2023, the vessel-owning company of the LNG/C Assos entered the 2023 Jolco LNG/C Assos for the purpose of partially financing the acquisition of the shares of the vessel-owning company of the LNG/C Assos, with the Company acting as a parent guarantor. The amount was drawn in full upon the completion of the acquisition of the vessel from Capital Maritime on May 31, 2024.</w:t>
      </w:r>
    </w:p>
    <w:p>
      <w:pPr>
        <w:spacing w:after="0" w:line="11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On December 21, 2023, we assumed the 2023 CMBFL - LNG/C AMI, consisting of a $196.3 million a sale and leaseback transaction with a tenor of 10 years, which offers the option to repurchase the vessel (the LNG/C Amore Mio I) at a predetermined price after the first anniversary of the arrangement, together with a purchase obligation of $98.2 million at the expiration of the lease in October 2033.</w:t>
      </w:r>
    </w:p>
    <w:p>
      <w:pPr>
        <w:spacing w:after="0" w:line="114"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On December 21, 2023, Capital Maritime issued to the Company the unsecured Seller’s Credit in an amount up to $220.0 million to finance a portion of the purchase price for the Umbrella Agreement Vessels. The Seller’s Credit bears interest at a rate of 7.5% per annum and matures on June 30, 2027. The Seller’s Credit contains customary cross-default provisions. In addition, the Seller’s Credit contains a covenant requiring the Company to prepay any amount drawn under the Seller’s Credit on a quarterly basis beginning on March 31, 2027 by an amount equal to the excess over $75.0 million of the Company’s cash and cash equivalents that are freely available to the Company and able to be used by the Company for its general corporate purposes, less any actual or contemplated dividends or other distributions as at each applicable quarter end date. The Seller’s Credit also contains a covenant requiring the Company to prepay any amount drawn under the Seller’s Credit upon receipt of any new debt proceeds by the Company and/or its subsidiaries, excluding indebtedness which is secured by first priority security on a ship, in an amount equal to the net cash proceeds received by the Company and/or its subsidiaries after deducting fees, costs and expenses and after deducting the amount of such proceeds that have been used to refinance any existing indebtedness of the Company and its subsidiaries. There are no amounts outstanding or remaining unutilized under the Seller’s Credit.</w:t>
      </w:r>
    </w:p>
    <w:p>
      <w:pPr>
        <w:spacing w:after="0" w:line="137"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On June 13, 2023, we entered into the 2023 credit facility, consisting of up to $100.0 million of available funds, for the purpose of partially financing the acquisition of the shares of the company owning the M/V Buenaventura Express. The full amount of the facility was drawn on June 15, 2023, and has a duration of eight years.</w:t>
      </w:r>
    </w:p>
    <w:p>
      <w:pPr>
        <w:spacing w:after="0" w:line="11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On March 14, 2023, the Company fully repaid the debt facility that we entered into with CMBFL in January 2021 amounting to $23.4 million with original maturity in February 2026 (“2021 CMBFL – Panamax”) with the purpose of partially financing the acquisition of three 5,089 TEU sister container vessels, namely the M/V Long Beach Express, the M/V Seattle Express and the M/V Fos Express.</w:t>
      </w:r>
    </w:p>
    <w:p>
      <w:pPr>
        <w:spacing w:after="0" w:line="11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On February 7, 2023, we entered into the 2023 CMBFL - LNG/C, consisting of up to $184.0 million of available funds, for the purpose of partially financing the acquisition of the shares of the company owning the LNG/C Asterix I. The full amount of the sale and lease back agreement was drawn on February 17, 2023, and has duration of 10 years.</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See “Item 5. Operating and Financial Review and Prospects—B. Liquidity and Capital Resources—Borrowings (Financing Arrangements)” below for information regarding our financing arrangements.</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Vessel Disposals</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On December 15, 2023 we agreed to sell the M/V Long Beach Express (68,618 DWT / 5,100 TEU, container vessel, built in 2008 by Hanjin Heavy Industries &amp; Construction Co., Ltd., South Korea) to an unaffiliated party. The M/V Long Beach Express was delivered to its new owner on February 26, 2024.</w:t>
      </w:r>
    </w:p>
    <w:p>
      <w:pPr>
        <w:spacing w:after="0" w:line="11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On June 27, 2023, we agreed to sell the dry cargo vessel M/V Cape Agamemnon (179,221 DWT, built in 2010 by Sungdong Shipbuilding &amp; Marine Engineering Co., Ltd, South Korea) to an unaffiliated party. The vessel was delivered to its new owner on November 7, 2023.</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Unit Repurchase Program</w:t>
      </w:r>
    </w:p>
    <w:p>
      <w:pPr>
        <w:spacing w:after="0" w:line="172"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On January 26, 2023, our board approved a new unit repurchase program (the “Unit Repurchase Program”), providing the Partnership with authorization to repurchase up to $30.0 million of the Partnership’s common units, effective for a period of two years through January 2025. During 2023, we completed the repurchase, under the Unit Repurchase Program, of 304,283 units, for an average price per unit of $13.48 plus repurchase expenses. These units were automatically converted into common shares on the Effective Date and are held as treasury shares by the Company. An amount of $4.1 million was recorded as a reduction in the Partnership’s Partners’ Capital as of December 31, 2023.</w:t>
      </w:r>
    </w:p>
    <w:p>
      <w:pPr>
        <w:spacing w:after="0" w:line="131"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62</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63" w:name="page64"/>
    <w:bookmarkEnd w:id="63"/>
    <w:p>
      <w:pPr>
        <w:ind w:left="480" w:hanging="480"/>
        <w:spacing w:after="0"/>
        <w:tabs>
          <w:tab w:leader="none" w:pos="480" w:val="left"/>
        </w:tabs>
        <w:numPr>
          <w:ilvl w:val="0"/>
          <w:numId w:val="4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Business Overview</w:t>
      </w:r>
    </w:p>
    <w:p>
      <w:pPr>
        <w:spacing w:after="0" w:line="75" w:lineRule="exact"/>
        <w:rPr>
          <w:sz w:val="20"/>
          <w:szCs w:val="20"/>
          <w:color w:val="auto"/>
        </w:rPr>
      </w:pPr>
    </w:p>
    <w:p>
      <w:pPr>
        <w:jc w:val="both"/>
        <w:ind w:firstLine="479"/>
        <w:spacing w:after="0" w:line="227" w:lineRule="auto"/>
        <w:rPr>
          <w:sz w:val="20"/>
          <w:szCs w:val="20"/>
          <w:color w:val="auto"/>
        </w:rPr>
      </w:pPr>
      <w:r>
        <w:rPr>
          <w:rFonts w:ascii="Times New Roman" w:cs="Times New Roman" w:eastAsia="Times New Roman" w:hAnsi="Times New Roman"/>
          <w:sz w:val="13"/>
          <w:szCs w:val="13"/>
          <w:color w:val="auto"/>
        </w:rPr>
        <w:t>We are an international owner of ocean-going vessels. Currently our fleet consists of 12 latest generation LNG/C vessels (1.0 million DWT and total capacity of 2.1 million CBM), one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 HMG/C vessel (28,629 DWT and capacity of 22,000 CBM) and one legacy Neo-Panamax container carrier vessel (0.1 million DWT and TEU capacity of 13,312), In addition, our Under Construction Fleet includes nine additional latest generation LNG/C vessels, six dual-fuel MG/C vessels and three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 HMG/C vessels, to be delivered between the second quarter of 2026 and the first quarter of 2029. As of March 31, 2026, the DWT weighted average age of our on-the-water fleet is approximately 3.4 years. Of the 21 LNG/C vessels that we own or have agreed to acquire (which includes the nine remaining Newbuild LNG/C Vessels in our Under Construction Fleet), our 12 on-the-water and three under construction LNG/C vessels are currently chartered under medium- to long-term charters (with remaining revenue-weighted charter of approximately 6.5 years as of March 31, 2026, based on earliest possible expiration) to reputable charterers, such as BGT, BP, Cheniere, Engie Energy Marketing Singapore Pte Ltd (“Engie”), Hartree, LNG Marine Transport Limited (“Jera”), Qatar Energy Trading, Tokyo LNG Tanker Co. Ltd. (“Tokyo Gas”), TotalEnergies Gas &amp; Power Limited (“Total”) and ConocoPhillips Marketing and Trading International (“Conoco”). Our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 HMG/C vessel commenced a six-month charter transporting LPG with Geogas, with an option to extend the charter for an additional six months.</w:t>
      </w:r>
    </w:p>
    <w:p>
      <w:pPr>
        <w:spacing w:after="0" w:line="1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Our container carrier vessel is currently chartered under long-term charter through 2032, with options to extend through 2039 to Hapag-Lloyd.</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Our fleet is managed by Capital-Containers and Capital-Gas Management, which are private companies and ultimately controlled by Mr. Miltiadis Marinakis.</w:t>
      </w:r>
    </w:p>
    <w:p>
      <w:pPr>
        <w:spacing w:after="0" w:line="170" w:lineRule="exact"/>
        <w:rPr>
          <w:sz w:val="20"/>
          <w:szCs w:val="20"/>
          <w:color w:val="auto"/>
        </w:rPr>
      </w:pPr>
    </w:p>
    <w:p>
      <w:pPr>
        <w:jc w:val="both"/>
        <w:ind w:firstLine="479"/>
        <w:spacing w:after="0"/>
        <w:rPr>
          <w:sz w:val="20"/>
          <w:szCs w:val="20"/>
          <w:color w:val="auto"/>
        </w:rPr>
      </w:pPr>
      <w:r>
        <w:rPr>
          <w:rFonts w:ascii="Times New Roman" w:cs="Times New Roman" w:eastAsia="Times New Roman" w:hAnsi="Times New Roman"/>
          <w:sz w:val="13"/>
          <w:szCs w:val="13"/>
          <w:color w:val="auto"/>
        </w:rPr>
        <w:t>In connection with the Umbrella Agreement, we have agreed with Capital Maritime and CGP LLC to change our business focus to concentrate on the LNG/C market. As part of this change in business focus, and pursuant to the Umbrella Agreement, we have disposed of or agreed to sell all of our legacy container carrier vessels, except for the M/V Itajai Express, and committed to abstain from acquiring additional container vessels. In addition to our commitment to concentrate our business on the LNG/C market, we also expect to focus on the LPG carriage market and the wider energy transition gas market. While we have taken significant steps to change our business focus to concentrate on the LNG/C market, the LPG carriage market and the wider energy transition gas market such as the carriage of low carbon ammonia and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we can provide no assurances that in the future we will not return to the container market or the dry bulk market, or that we will not explore additional shipping markets beyond the LNG/C and the LPG carriage markets. We can also provide no assurances as to whether or when we will complete the disposition of our container vessel. See “Item 3. Key Information—D. Risk Factors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Risks Related to Our Business and Operations—</w:t>
      </w:r>
      <w:r>
        <w:rPr>
          <w:rFonts w:ascii="Times New Roman" w:cs="Times New Roman" w:eastAsia="Times New Roman" w:hAnsi="Times New Roman"/>
          <w:sz w:val="13"/>
          <w:szCs w:val="13"/>
          <w:i w:val="1"/>
          <w:iCs w:val="1"/>
          <w:color w:val="auto"/>
        </w:rPr>
        <w:t>We may not realize the benefits anticipated from our change in business focus to concentrate on the LNG/C market, the LPG carriage market and the wider energy transition gas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market, which could adversely affect the value of our securities</w:t>
      </w:r>
      <w:r>
        <w:rPr>
          <w:rFonts w:ascii="Times New Roman" w:cs="Times New Roman" w:eastAsia="Times New Roman" w:hAnsi="Times New Roman"/>
          <w:sz w:val="13"/>
          <w:szCs w:val="13"/>
          <w:color w:val="auto"/>
        </w:rPr>
        <w:t>” above.</w:t>
      </w:r>
    </w:p>
    <w:p>
      <w:pPr>
        <w:spacing w:after="0" w:line="148" w:lineRule="exact"/>
        <w:rPr>
          <w:sz w:val="20"/>
          <w:szCs w:val="20"/>
          <w:color w:val="auto"/>
        </w:rPr>
      </w:pPr>
    </w:p>
    <w:p>
      <w:pPr>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63</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3"/>
          <w:szCs w:val="13"/>
          <w:b w:val="1"/>
          <w:bCs w:val="1"/>
          <w:color w:val="auto"/>
        </w:rPr>
        <w:t>Business Strategies</w:t>
      </w:r>
    </w:p>
    <w:p>
      <w:pPr>
        <w:spacing w:after="0" w:line="172" w:lineRule="exact"/>
        <w:rPr>
          <w:sz w:val="20"/>
          <w:szCs w:val="20"/>
          <w:color w:val="auto"/>
        </w:rPr>
      </w:pPr>
    </w:p>
    <w:p>
      <w:pPr>
        <w:ind w:firstLine="479"/>
        <w:spacing w:after="0" w:line="211" w:lineRule="auto"/>
        <w:rPr>
          <w:sz w:val="20"/>
          <w:szCs w:val="20"/>
          <w:color w:val="auto"/>
        </w:rPr>
      </w:pPr>
      <w:r>
        <w:rPr>
          <w:rFonts w:ascii="Times New Roman" w:cs="Times New Roman" w:eastAsia="Times New Roman" w:hAnsi="Times New Roman"/>
          <w:sz w:val="13"/>
          <w:szCs w:val="13"/>
          <w:color w:val="auto"/>
        </w:rPr>
        <w:t>Our vision is to be a leading LNG shipping company, building a modern, high-performance fleet to meet rising global demand, while creating long-term shareholder value through disciplined growth, operational excellence, and a strong commitment to safety and customer service. As part of this strategy, we are selectively expanding into complementary gas segments such as LPG, ammonia, and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jc w:val="both"/>
        <w:ind w:left="960" w:hanging="481"/>
        <w:spacing w:after="0" w:line="244" w:lineRule="auto"/>
        <w:tabs>
          <w:tab w:leader="none" w:pos="960" w:val="left"/>
        </w:tabs>
        <w:numPr>
          <w:ilvl w:val="0"/>
          <w:numId w:val="42"/>
        </w:numPr>
        <w:rPr>
          <w:rFonts w:ascii="Arial" w:cs="Arial" w:eastAsia="Arial" w:hAnsi="Arial"/>
          <w:sz w:val="13"/>
          <w:szCs w:val="13"/>
          <w:b w:val="1"/>
          <w:bCs w:val="1"/>
          <w:color w:val="auto"/>
        </w:rPr>
      </w:pPr>
      <w:r>
        <w:rPr>
          <w:rFonts w:ascii="Times New Roman" w:cs="Times New Roman" w:eastAsia="Times New Roman" w:hAnsi="Times New Roman"/>
          <w:sz w:val="13"/>
          <w:szCs w:val="13"/>
          <w:b w:val="1"/>
          <w:bCs w:val="1"/>
          <w:color w:val="auto"/>
        </w:rPr>
        <w:t xml:space="preserve">Capitalize on growing demand for LNG shipping and other energy transition gas cargoes. </w:t>
      </w:r>
      <w:r>
        <w:rPr>
          <w:rFonts w:ascii="Times New Roman" w:cs="Times New Roman" w:eastAsia="Times New Roman" w:hAnsi="Times New Roman"/>
          <w:sz w:val="13"/>
          <w:szCs w:val="13"/>
          <w:color w:val="auto"/>
        </w:rPr>
        <w:t>We believe that demand for LNG and, as a result, for LNG shipping will continue to grow.</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Demand for natural gas and LNG is expected to continue to grow, as it is expected to play a major role in the transition to net zero carbon emissions and as a source of energy for the increasing needs of data centers due to the rise of artificial intelligence. As a result, we believe that our investors are better served by increasing our exposure and focus on the LNG shipping industry and the wider energy transition gas market, while divesting where possible from our container business. In December 2023, we agreed to acquire 11 latest generation LNG/C vessels (seven two-stroke (MEGA) LNG/C and four two stroke (XDF) LNG/C vessels), the first five of which were delivered between December 2023 and June 2024, and in December 2025 we agreed to acquire three additional latest generation two-stroke (XDF) LNG/C vessels. We expect to take delivery of the remaining Newbuild LNG/C Vessels between the second quarter of 2026 and the first quarter of 2029. In connection with our intention to gradually divest from our container vessels, we have sold all of our legacy container carrier vessels, except for the M/V Itajai Express. In addition, we intend to expand in the maritime transportation of other gas cargoes such as LPG and LPG related cargoes, low carbon ammonia and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In June 2024, we agreed to acquire 10 new gas carriers, including four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 HMG/C vessels and six LPG-ammonia carriers, to be delivered to the Company between the first quarter of 2026 and the third quarter of 2027, the first of which was delivered to the Company in January 2026. We expect that demand for seaborne transportation of such cargoes will increase over the coming decades, as a result of the decarbonization of a number of industries.</w:t>
      </w:r>
    </w:p>
    <w:p>
      <w:pPr>
        <w:spacing w:after="0" w:line="300" w:lineRule="exact"/>
        <w:rPr>
          <w:rFonts w:ascii="Arial" w:cs="Arial" w:eastAsia="Arial" w:hAnsi="Arial"/>
          <w:sz w:val="13"/>
          <w:szCs w:val="13"/>
          <w:b w:val="1"/>
          <w:bCs w:val="1"/>
          <w:color w:val="auto"/>
        </w:rPr>
      </w:pPr>
    </w:p>
    <w:p>
      <w:pPr>
        <w:jc w:val="both"/>
        <w:ind w:left="960" w:hanging="481"/>
        <w:spacing w:after="0" w:line="236" w:lineRule="auto"/>
        <w:tabs>
          <w:tab w:leader="none" w:pos="960" w:val="left"/>
        </w:tabs>
        <w:numPr>
          <w:ilvl w:val="0"/>
          <w:numId w:val="42"/>
        </w:numPr>
        <w:rPr>
          <w:rFonts w:ascii="Arial" w:cs="Arial" w:eastAsia="Arial" w:hAnsi="Arial"/>
          <w:sz w:val="13"/>
          <w:szCs w:val="13"/>
          <w:b w:val="1"/>
          <w:bCs w:val="1"/>
          <w:color w:val="auto"/>
        </w:rPr>
      </w:pPr>
      <w:r>
        <w:rPr>
          <w:rFonts w:ascii="Times New Roman" w:cs="Times New Roman" w:eastAsia="Times New Roman" w:hAnsi="Times New Roman"/>
          <w:sz w:val="13"/>
          <w:szCs w:val="13"/>
          <w:b w:val="1"/>
          <w:bCs w:val="1"/>
          <w:color w:val="auto"/>
        </w:rPr>
        <w:t>Maintain a balanced chartering strategy</w:t>
      </w:r>
      <w:r>
        <w:rPr>
          <w:rFonts w:ascii="Times New Roman" w:cs="Times New Roman" w:eastAsia="Times New Roman" w:hAnsi="Times New Roman"/>
          <w:sz w:val="13"/>
          <w:szCs w:val="13"/>
          <w:color w:val="auto"/>
        </w:rPr>
        <w:t>. We pursue a balanced chartering strategy by entering into medium- to long-term, fixed-rate charters for the majority of our fleet in an effort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provide visibility of revenues and cash flows, while at the same time maintaining some market exposure by entering into shorter-term charters or keeping open positions. As our vessels come up for re-chartering, we aim to redeploy them under period contracts that reflect our expectations of prevailing market conditions. We believe that the DWT weighted average age of our LNG fleet of approximately 3.5 years as of March 31, 2026, our new building program and the superior unit freight economics that our latest generation vessels can deliver to our charterers compared to previous generation vessels, position us favorably to continue to secure medium- to long-term charters for our LNG/C vessels. Of the 21 LNG/C vessels that we own or have agreed to acquire, 15 LNG/C vessels currently have in place medium- to long-term employment with remaining charter duration of 6.5 years and $2,592.2 million in contracted revenues.</w:t>
      </w:r>
    </w:p>
    <w:p>
      <w:pPr>
        <w:spacing w:after="0" w:line="145" w:lineRule="exact"/>
        <w:rPr>
          <w:rFonts w:ascii="Arial" w:cs="Arial" w:eastAsia="Arial" w:hAnsi="Arial"/>
          <w:sz w:val="13"/>
          <w:szCs w:val="13"/>
          <w:b w:val="1"/>
          <w:bCs w:val="1"/>
          <w:color w:val="auto"/>
        </w:rPr>
      </w:pPr>
    </w:p>
    <w:p>
      <w:pPr>
        <w:jc w:val="both"/>
        <w:ind w:left="960" w:hanging="481"/>
        <w:spacing w:after="0" w:line="275" w:lineRule="auto"/>
        <w:tabs>
          <w:tab w:leader="none" w:pos="960" w:val="left"/>
        </w:tabs>
        <w:numPr>
          <w:ilvl w:val="0"/>
          <w:numId w:val="42"/>
        </w:numPr>
        <w:rPr>
          <w:rFonts w:ascii="Arial" w:cs="Arial" w:eastAsia="Arial" w:hAnsi="Arial"/>
          <w:sz w:val="13"/>
          <w:szCs w:val="13"/>
          <w:b w:val="1"/>
          <w:bCs w:val="1"/>
          <w:color w:val="auto"/>
        </w:rPr>
      </w:pPr>
      <w:r>
        <w:rPr>
          <w:rFonts w:ascii="Times New Roman" w:cs="Times New Roman" w:eastAsia="Times New Roman" w:hAnsi="Times New Roman"/>
          <w:sz w:val="13"/>
          <w:szCs w:val="13"/>
          <w:b w:val="1"/>
          <w:bCs w:val="1"/>
          <w:color w:val="auto"/>
        </w:rPr>
        <w:t>Expand our fleet through accretive acquisitions</w:t>
      </w:r>
      <w:r>
        <w:rPr>
          <w:rFonts w:ascii="Times New Roman" w:cs="Times New Roman" w:eastAsia="Times New Roman" w:hAnsi="Times New Roman"/>
          <w:sz w:val="13"/>
          <w:szCs w:val="13"/>
          <w:color w:val="auto"/>
        </w:rPr>
        <w:t>. We intend to evaluate potential acquisitions of both newbuilds and second-hand vessels in the LNG and energy transition gas markets, as well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as mergers and acquisitions with other private and listed companies in the maritime gas transportation sector with primary focus on LNG shipping. We also intend to continue to take advantage of opportunities afforded to us by our relationship with our sponsor, Capital Maritime and the rights of first refusal we have been granted under the Umbrella Agreement.</w:t>
      </w:r>
    </w:p>
    <w:p>
      <w:pPr>
        <w:spacing w:after="0" w:line="124" w:lineRule="exact"/>
        <w:rPr>
          <w:rFonts w:ascii="Arial" w:cs="Arial" w:eastAsia="Arial" w:hAnsi="Arial"/>
          <w:sz w:val="13"/>
          <w:szCs w:val="13"/>
          <w:b w:val="1"/>
          <w:bCs w:val="1"/>
          <w:color w:val="auto"/>
        </w:rPr>
      </w:pPr>
    </w:p>
    <w:p>
      <w:pPr>
        <w:jc w:val="both"/>
        <w:ind w:left="960" w:hanging="481"/>
        <w:spacing w:after="0" w:line="269" w:lineRule="auto"/>
        <w:tabs>
          <w:tab w:leader="none" w:pos="960" w:val="left"/>
        </w:tabs>
        <w:numPr>
          <w:ilvl w:val="0"/>
          <w:numId w:val="42"/>
        </w:numPr>
        <w:rPr>
          <w:rFonts w:ascii="Arial" w:cs="Arial" w:eastAsia="Arial" w:hAnsi="Arial"/>
          <w:sz w:val="13"/>
          <w:szCs w:val="13"/>
          <w:b w:val="1"/>
          <w:bCs w:val="1"/>
          <w:color w:val="auto"/>
        </w:rPr>
      </w:pPr>
      <w:r>
        <w:rPr>
          <w:rFonts w:ascii="Times New Roman" w:cs="Times New Roman" w:eastAsia="Times New Roman" w:hAnsi="Times New Roman"/>
          <w:sz w:val="13"/>
          <w:szCs w:val="13"/>
          <w:b w:val="1"/>
          <w:bCs w:val="1"/>
          <w:color w:val="auto"/>
        </w:rPr>
        <w:t>Maintain and build on our ability to meet rigorous industry and regulatory safety standards</w:t>
      </w:r>
      <w:r>
        <w:rPr>
          <w:rFonts w:ascii="Times New Roman" w:cs="Times New Roman" w:eastAsia="Times New Roman" w:hAnsi="Times New Roman"/>
          <w:sz w:val="13"/>
          <w:szCs w:val="13"/>
          <w:color w:val="auto"/>
        </w:rPr>
        <w:t>. We believe that in order for us to be successful in growing our business, we need to maintain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our vessel safety record and further build on our high level of customer service and support. Our Managers have strong records of vessel safety and compliance with rigorous health, safety and environmental protection standards, and are committed to providing our charterers with a high level of customer service and support, which we believe helps us to maintain relationships with our current customer base and further cultivate relationships with a number of additional major energy players.</w:t>
      </w:r>
    </w:p>
    <w:p>
      <w:pPr>
        <w:spacing w:after="0" w:line="130"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64</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3"/>
          <w:szCs w:val="13"/>
          <w:b w:val="1"/>
          <w:bCs w:val="1"/>
          <w:color w:val="auto"/>
        </w:rPr>
        <w:t>Our Customers</w:t>
      </w:r>
    </w:p>
    <w:p>
      <w:pPr>
        <w:spacing w:after="0" w:line="172"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We provide marine transportation services under medium- to long-term time charters with a range of counterparties. The loss of any significant customer or a substantial decline in the amount of services requested by a significant customer could harm our business, results of operations, cash flows, financial condition and ability to pay cash dividends and service or refinance our debt. See “Item 3. Key Information —D. Risk Factors—Risks Related to Our Business and Operations—</w:t>
      </w:r>
      <w:r>
        <w:rPr>
          <w:rFonts w:ascii="Times New Roman" w:cs="Times New Roman" w:eastAsia="Times New Roman" w:hAnsi="Times New Roman"/>
          <w:sz w:val="13"/>
          <w:szCs w:val="13"/>
          <w:i w:val="1"/>
          <w:iCs w:val="1"/>
          <w:color w:val="auto"/>
        </w:rPr>
        <w:t>We currently derive all of our revenues from a limited number of charterers and the loss of</w:t>
      </w:r>
      <w:r>
        <w:rPr>
          <w:rFonts w:ascii="Times New Roman" w:cs="Times New Roman" w:eastAsia="Times New Roman" w:hAnsi="Times New Roman"/>
          <w:sz w:val="13"/>
          <w:szCs w:val="13"/>
          <w:color w:val="auto"/>
        </w:rPr>
        <w:t xml:space="preserve"> any charterer or charter could result in a significant loss of revenues and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Management Agreements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Under our management agreements:</w:t>
      </w:r>
    </w:p>
    <w:p>
      <w:pPr>
        <w:spacing w:after="0" w:line="170" w:lineRule="exact"/>
        <w:rPr>
          <w:sz w:val="20"/>
          <w:szCs w:val="20"/>
          <w:color w:val="auto"/>
        </w:rPr>
      </w:pPr>
    </w:p>
    <w:p>
      <w:pPr>
        <w:ind w:left="960" w:hanging="481"/>
        <w:spacing w:after="0"/>
        <w:tabs>
          <w:tab w:leader="none" w:pos="960" w:val="left"/>
        </w:tabs>
        <w:numPr>
          <w:ilvl w:val="0"/>
          <w:numId w:val="4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we pay the relevant Managers a daily technical management fee per vessel, which, if floating, is revised annually based on the United States Consumer Price Index;</w:t>
      </w:r>
    </w:p>
    <w:p>
      <w:pPr>
        <w:spacing w:after="0" w:line="169" w:lineRule="exact"/>
        <w:rPr>
          <w:rFonts w:ascii="Arial" w:cs="Arial" w:eastAsia="Arial" w:hAnsi="Arial"/>
          <w:sz w:val="13"/>
          <w:szCs w:val="13"/>
          <w:b w:val="1"/>
          <w:bCs w:val="1"/>
          <w:color w:val="auto"/>
        </w:rPr>
      </w:pPr>
    </w:p>
    <w:p>
      <w:pPr>
        <w:ind w:left="960" w:hanging="481"/>
        <w:spacing w:after="0" w:line="292" w:lineRule="auto"/>
        <w:tabs>
          <w:tab w:leader="none" w:pos="960" w:val="left"/>
        </w:tabs>
        <w:numPr>
          <w:ilvl w:val="0"/>
          <w:numId w:val="4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we indemnify our Managers for expenses and liabilities they incur on our behalf in the provision of the contracted for services, including, for example, crew, repairs and maintenance, insurance, stores, spares, lubricants and other operating costs; and</w:t>
      </w:r>
    </w:p>
    <w:p>
      <w:pPr>
        <w:spacing w:after="0" w:line="114" w:lineRule="exact"/>
        <w:rPr>
          <w:rFonts w:ascii="Arial" w:cs="Arial" w:eastAsia="Arial" w:hAnsi="Arial"/>
          <w:sz w:val="13"/>
          <w:szCs w:val="13"/>
          <w:b w:val="1"/>
          <w:bCs w:val="1"/>
          <w:color w:val="auto"/>
        </w:rPr>
      </w:pPr>
    </w:p>
    <w:p>
      <w:pPr>
        <w:ind w:left="960" w:hanging="481"/>
        <w:spacing w:after="0"/>
        <w:tabs>
          <w:tab w:leader="none" w:pos="960" w:val="left"/>
        </w:tabs>
        <w:numPr>
          <w:ilvl w:val="0"/>
          <w:numId w:val="4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we bear all costs and expenses associated with a vessel’s dry-docking.</w:t>
      </w:r>
    </w:p>
    <w:p>
      <w:pPr>
        <w:spacing w:after="0" w:line="169"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We expect that vessels acquired in the future will be managed under similar floating or fixed fee management arrangements. See Note 5 (Transactions with Related Parties) to our Financial Statements for additional information on fees paid under our management agreements.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Fleet</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At the time of our initial public offering in 2007, our fleet consisted of eight vessels. As of December 31, 2018, our fleet consisted of 36 vessels. We completed the spin-off of our 25 vessel Tanker Business on March 27, 2019.</w:t>
      </w:r>
    </w:p>
    <w:p>
      <w:pPr>
        <w:spacing w:after="0" w:line="114"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Following the spin-off our fleet was comprised of 10 Neo-Panamax container carrier vessels and one Capesize bulk carrier vessel. In 2020 we completed the acquisition of three Neo-Panamax container carrier vessels and in the first half of 2021 the acquisition of three Panamax container carrier vessels, while in May and December 2021, respectively, we completed the sale of two Neo-Panamax container carrier vessels.</w:t>
      </w:r>
    </w:p>
    <w:p>
      <w:pPr>
        <w:spacing w:after="0" w:line="127"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During the second half of 2021 we decided to enter the LNG market by completing the acquisition of six LNG/C vessels. On June 6, 2022, we agreed to acquire, upon their respective delivery from the shipyard, one LNG/C and three Neo-Panamax container carrier vessels. The LNG/C was delivered in February 2023 and two of the Neo-Panamax container carriers were delivered in October 2022 and January 2023, respectively, while the third Neo-Panamax container carrier was delivered in June 2023. In July 2022 we also completed the sale of two Neo-Panamax container carrier vessels. In November 2023, we sold the M/V Cape Agamemnon.</w:t>
      </w:r>
    </w:p>
    <w:p>
      <w:pPr>
        <w:spacing w:after="0" w:line="131" w:lineRule="exact"/>
        <w:rPr>
          <w:sz w:val="20"/>
          <w:szCs w:val="20"/>
          <w:color w:val="auto"/>
        </w:rPr>
      </w:pPr>
    </w:p>
    <w:p>
      <w:pPr>
        <w:jc w:val="both"/>
        <w:ind w:firstLine="479"/>
        <w:spacing w:after="0" w:line="238" w:lineRule="auto"/>
        <w:rPr>
          <w:sz w:val="20"/>
          <w:szCs w:val="20"/>
          <w:color w:val="auto"/>
        </w:rPr>
      </w:pPr>
      <w:r>
        <w:rPr>
          <w:rFonts w:ascii="Times New Roman" w:cs="Times New Roman" w:eastAsia="Times New Roman" w:hAnsi="Times New Roman"/>
          <w:sz w:val="13"/>
          <w:szCs w:val="13"/>
          <w:color w:val="auto"/>
        </w:rPr>
        <w:t>On November 13, 2023, we entered into the Umbrella Agreement pursuant to which, we agreed, among other things, to acquire 11 latest generation LNG/C vessels (seven two-stroke (MEGA) LNG/C and four two stroke (XDF) LNG/C vessels) and decided to change our business focus towards the LNG/C market and at the same time to gradually divest our container vessels. The first two of the Umbrella Agreement LNG/C vessels were delivered in December 2023 and January 2024, the third of the Umbrella Agreement LNG/C vessels was delivered in May 2024 and the fourth and fifth of the Umbrella Agreement LNG/C vessels were delivered in June 2024. In 2024, we also agreed to acquire 10 new gas carriers, including four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 HMG/C vessels and six LPG-ammonia carriers, including the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 HMG/C Active of which we took delivery on January 5, 2026. The remaining nine under construction Gas Fleet vessels are expected to be delivered to the Company between the second quarter of 2026 and the third quarter of 2027. Furthermore, on December 29, 2025, we announced the investment in three latest technology LNG/C vessels, with expected deliveries in the third quarter of 2028 and the first quarter of 2029. Consistent with our intention to gradually divest our container vessels, we have sold since November 2023, all of our legacy container carrier vessels, except for the M/V Itajai Express.</w:t>
      </w:r>
    </w:p>
    <w:p>
      <w:pPr>
        <w:spacing w:after="0" w:line="147"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65</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66" w:name="page67"/>
    <w:bookmarkEnd w:id="66"/>
    <w:p>
      <w:pPr>
        <w:jc w:val="both"/>
        <w:ind w:firstLine="479"/>
        <w:spacing w:after="0" w:line="229" w:lineRule="auto"/>
        <w:rPr>
          <w:sz w:val="20"/>
          <w:szCs w:val="20"/>
          <w:color w:val="auto"/>
        </w:rPr>
      </w:pPr>
      <w:r>
        <w:rPr>
          <w:rFonts w:ascii="Times New Roman" w:cs="Times New Roman" w:eastAsia="Times New Roman" w:hAnsi="Times New Roman"/>
          <w:sz w:val="13"/>
          <w:szCs w:val="13"/>
          <w:color w:val="auto"/>
        </w:rPr>
        <w:t>As a result, we currently own a fleet of 14 on-the-water vessels consisting of 12 latest generation LNG/C vessels (1.0 million DWT and total capacity of 2.1 million CBM), one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 HMG/C vessel (28,629 DWT and capacity of 22,000 CBM) and one Neo-Panamax container carrier vessel (0.1 million DWT and TEU capacity of 13,312), In addition, we have agreed to acquire nine additional latest generation LNG/C vessels, six dual-fuel MG/C vessels and three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 HMG/C vessels, to be delivered between the second quarter of 2026 and the first quarter of 2029. As of March 31, 2026, the DWT weighted average age of our on-the-water fleet is approximately 3.4 years.</w:t>
      </w:r>
    </w:p>
    <w:p>
      <w:pPr>
        <w:spacing w:after="0" w:line="147" w:lineRule="exact"/>
        <w:rPr>
          <w:sz w:val="20"/>
          <w:szCs w:val="20"/>
          <w:color w:val="auto"/>
        </w:rPr>
      </w:pPr>
    </w:p>
    <w:p>
      <w:pPr>
        <w:jc w:val="both"/>
        <w:ind w:firstLine="479"/>
        <w:spacing w:after="0"/>
        <w:rPr>
          <w:sz w:val="20"/>
          <w:szCs w:val="20"/>
          <w:color w:val="auto"/>
        </w:rPr>
      </w:pPr>
      <w:r>
        <w:rPr>
          <w:rFonts w:ascii="Times New Roman" w:cs="Times New Roman" w:eastAsia="Times New Roman" w:hAnsi="Times New Roman"/>
          <w:sz w:val="13"/>
          <w:szCs w:val="13"/>
          <w:color w:val="auto"/>
        </w:rPr>
        <w:t>In connection with the Umbrella Agreement, we have agreed with Capital Maritime and CGP LLC to change our business focus to concentrate on the LNG/C market. As part of this change in business focus, and pursuant to the Umbrella Agreement, we have disposed of all of our legacy container carrier vessels, except for the M/V Itajai Express and committed to abstain from acquiring additional container vessels. In addition to our commitment to concentrate our business on the LNG/C market, we also expect to focus on the LPG carriage market and the wider energy transition gas market. While we have taken significant steps to change our business focus to concentrate on the LNG/C market, the LPG carriage market and the wider energy transition gas market such as the carriage of low carbon ammonia and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we can provide no assurances that in the future we will not return to the container market or the dry bulk market, or that we will not explore additional shipping markets beyond the LNG/C and the LPG carriage markets. We can also provide no assurances as to whether or when we will complete the disposition of our legacy container vessel. See “Item 3. Key Information—D. Risk Factors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Risks Related to Our Business and Operations—</w:t>
      </w:r>
      <w:r>
        <w:rPr>
          <w:rFonts w:ascii="Times New Roman" w:cs="Times New Roman" w:eastAsia="Times New Roman" w:hAnsi="Times New Roman"/>
          <w:sz w:val="13"/>
          <w:szCs w:val="13"/>
          <w:i w:val="1"/>
          <w:iCs w:val="1"/>
          <w:color w:val="auto"/>
        </w:rPr>
        <w:t>We may not realize the benefits anticipated from our change in business focus to concentrate on the LNG/C market, the LPG carriage market and the wider energy transition gas market, which</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could adversely affect the value of our securities</w:t>
      </w:r>
      <w:r>
        <w:rPr>
          <w:rFonts w:ascii="Times New Roman" w:cs="Times New Roman" w:eastAsia="Times New Roman" w:hAnsi="Times New Roman"/>
          <w:sz w:val="13"/>
          <w:szCs w:val="13"/>
          <w:color w:val="auto"/>
        </w:rPr>
        <w:t>” above.</w:t>
      </w:r>
    </w:p>
    <w:p>
      <w:pPr>
        <w:spacing w:after="0" w:line="148"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We intend, subject to prevailing shipping, charter and financing market conditions, to make strategic acquisitions in a prudent manner that is accretive to our shareholders and to long-term distributable cash flow growth. In addition, we may pursue opportunities for acquisitions of, or combinations with, other shipping businesses.</w:t>
      </w:r>
    </w:p>
    <w:p>
      <w:pPr>
        <w:spacing w:after="0" w:line="114"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The table below provides summary information about the on-the-water vessels in our current fleet and their employment, including earliest possible redelivery dates of the vessels and relevant charter rates. Sister vessels, which are vessels of similar specifications and size typically built at the same shipyard, are denoted by the same letter in the table. We believe that ownership of sister vessels provides a number of efficiency advantages in the management of our fleet.</w:t>
      </w:r>
    </w:p>
    <w:p>
      <w:pPr>
        <w:spacing w:after="0" w:line="127"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All of the vessels in our fleet are or were designed, constructed, inspected and tested in accordance with the rules and regulations of Lloyd’s Register of Shipping (“Lloyd’s”), Bureau Veritas (“BV”), DNV GL, Korean Register (“KR”) or the American Bureau of Shipping (“ABS”).</w:t>
      </w:r>
    </w:p>
    <w:p>
      <w:pPr>
        <w:spacing w:after="0" w:line="114"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66</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49" w:right="31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3"/>
          <w:szCs w:val="13"/>
          <w:b w:val="1"/>
          <w:bCs w:val="1"/>
          <w:color w:val="auto"/>
        </w:rPr>
        <w:t>VESSELS IN OUR FLEET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(ON-THE-WATER)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Management</w:t>
            </w:r>
          </w:p>
        </w:tc>
        <w:tc>
          <w:tcPr>
            <w:tcW w:w="1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Charter</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Sister</w:t>
            </w:r>
          </w:p>
        </w:tc>
        <w:tc>
          <w:tcPr>
            <w:tcW w:w="140" w:type="dxa"/>
            <w:vAlign w:val="bottom"/>
          </w:tcPr>
          <w:p>
            <w:pPr>
              <w:spacing w:after="0"/>
              <w:rPr>
                <w:sz w:val="13"/>
                <w:szCs w:val="13"/>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Agreement</w:t>
            </w:r>
          </w:p>
        </w:tc>
        <w:tc>
          <w:tcPr>
            <w:tcW w:w="1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Duration /</w:t>
            </w:r>
          </w:p>
        </w:tc>
        <w:tc>
          <w:tcPr>
            <w:tcW w:w="1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Expiry of</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156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Vessel Name</w:t>
            </w:r>
          </w:p>
        </w:tc>
        <w:tc>
          <w:tcPr>
            <w:tcW w:w="140" w:type="dxa"/>
            <w:vAlign w:val="bottom"/>
          </w:tcPr>
          <w:p>
            <w:pPr>
              <w:spacing w:after="0"/>
              <w:rPr>
                <w:sz w:val="15"/>
                <w:szCs w:val="15"/>
                <w:color w:val="auto"/>
              </w:rPr>
            </w:pPr>
          </w:p>
        </w:tc>
        <w:tc>
          <w:tcPr>
            <w:tcW w:w="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Vessels (1)</w:t>
            </w:r>
          </w:p>
        </w:tc>
        <w:tc>
          <w:tcPr>
            <w:tcW w:w="140" w:type="dxa"/>
            <w:vAlign w:val="bottom"/>
          </w:tcPr>
          <w:p>
            <w:pPr>
              <w:spacing w:after="0"/>
              <w:rPr>
                <w:sz w:val="15"/>
                <w:szCs w:val="15"/>
                <w:color w:val="auto"/>
              </w:rPr>
            </w:pPr>
          </w:p>
        </w:tc>
        <w:tc>
          <w:tcPr>
            <w:tcW w:w="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Built</w:t>
            </w:r>
          </w:p>
        </w:tc>
        <w:tc>
          <w:tcPr>
            <w:tcW w:w="14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DWT-TEU-CBM (5)</w:t>
            </w:r>
          </w:p>
        </w:tc>
        <w:tc>
          <w:tcPr>
            <w:tcW w:w="14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Expiration (2)</w:t>
            </w:r>
          </w:p>
        </w:tc>
        <w:tc>
          <w:tcPr>
            <w:tcW w:w="14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Type (3)</w:t>
            </w:r>
          </w:p>
        </w:tc>
        <w:tc>
          <w:tcPr>
            <w:tcW w:w="14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Charter (4)</w:t>
            </w:r>
          </w:p>
        </w:tc>
        <w:tc>
          <w:tcPr>
            <w:tcW w:w="14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Charterer</w:t>
            </w:r>
          </w:p>
        </w:tc>
        <w:tc>
          <w:tcPr>
            <w:tcW w:w="140" w:type="dxa"/>
            <w:vAlign w:val="bottom"/>
          </w:tcPr>
          <w:p>
            <w:pPr>
              <w:spacing w:after="0"/>
              <w:rPr>
                <w:sz w:val="15"/>
                <w:szCs w:val="15"/>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Description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80" w:type="dxa"/>
            <w:vAlign w:val="bottom"/>
            <w:tcBorders>
              <w:right w:val="single" w:sz="8" w:color="CCEEFF"/>
            </w:tcBorders>
            <w:shd w:val="clear" w:color="auto" w:fill="CCEEFF"/>
          </w:tcPr>
          <w:p>
            <w:pPr>
              <w:spacing w:after="0"/>
              <w:rPr>
                <w:sz w:val="10"/>
                <w:szCs w:val="10"/>
                <w:color w:val="auto"/>
              </w:rPr>
            </w:pPr>
          </w:p>
        </w:tc>
        <w:tc>
          <w:tcPr>
            <w:tcW w:w="2420" w:type="dxa"/>
            <w:vAlign w:val="bottom"/>
            <w:gridSpan w:val="5"/>
            <w:shd w:val="clear" w:color="auto" w:fill="CCEEFF"/>
          </w:tcPr>
          <w:p>
            <w:pPr>
              <w:spacing w:after="0" w:line="120" w:lineRule="exact"/>
              <w:rPr>
                <w:sz w:val="20"/>
                <w:szCs w:val="20"/>
                <w:color w:val="auto"/>
              </w:rPr>
            </w:pPr>
            <w:r>
              <w:rPr>
                <w:rFonts w:ascii="Times New Roman" w:cs="Times New Roman" w:eastAsia="Times New Roman" w:hAnsi="Times New Roman"/>
                <w:sz w:val="13"/>
                <w:szCs w:val="13"/>
                <w:b w:val="1"/>
                <w:bCs w:val="1"/>
                <w:color w:val="auto"/>
              </w:rPr>
              <w:t>CONTAINER CARRIER VESSELS</w:t>
            </w: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40" w:type="dxa"/>
            <w:vAlign w:val="bottom"/>
            <w:tcBorders>
              <w:right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80" w:type="dxa"/>
            <w:vAlign w:val="bottom"/>
            <w:tcBorders>
              <w:right w:val="single" w:sz="8" w:color="CCEEFF"/>
            </w:tcBorders>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940" w:type="dxa"/>
            <w:vAlign w:val="bottom"/>
            <w:tcBorders>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80" w:type="dxa"/>
            <w:vAlign w:val="bottom"/>
          </w:tcPr>
          <w:p>
            <w:pPr>
              <w:spacing w:after="0"/>
              <w:rPr>
                <w:sz w:val="12"/>
                <w:szCs w:val="12"/>
                <w:color w:val="auto"/>
              </w:rPr>
            </w:pPr>
          </w:p>
        </w:tc>
        <w:tc>
          <w:tcPr>
            <w:tcW w:w="156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Itajai Express (10)</w:t>
            </w:r>
          </w:p>
        </w:tc>
        <w:tc>
          <w:tcPr>
            <w:tcW w:w="140" w:type="dxa"/>
            <w:vAlign w:val="bottom"/>
          </w:tcPr>
          <w:p>
            <w:pPr>
              <w:spacing w:after="0"/>
              <w:rPr>
                <w:sz w:val="12"/>
                <w:szCs w:val="12"/>
                <w:color w:val="auto"/>
              </w:rPr>
            </w:pPr>
          </w:p>
        </w:tc>
        <w:tc>
          <w:tcPr>
            <w:tcW w:w="72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3"/>
                <w:szCs w:val="13"/>
                <w:color w:val="auto"/>
              </w:rPr>
              <w:t>A</w:t>
            </w:r>
          </w:p>
        </w:tc>
        <w:tc>
          <w:tcPr>
            <w:tcW w:w="500" w:type="dxa"/>
            <w:vAlign w:val="bottom"/>
            <w:gridSpan w:val="2"/>
          </w:tcPr>
          <w:p>
            <w:pPr>
              <w:ind w:left="180"/>
              <w:spacing w:after="0" w:line="147" w:lineRule="exact"/>
              <w:rPr>
                <w:sz w:val="20"/>
                <w:szCs w:val="20"/>
                <w:color w:val="auto"/>
              </w:rPr>
            </w:pPr>
            <w:r>
              <w:rPr>
                <w:rFonts w:ascii="Times New Roman" w:cs="Times New Roman" w:eastAsia="Times New Roman" w:hAnsi="Times New Roman"/>
                <w:sz w:val="13"/>
                <w:szCs w:val="13"/>
                <w:color w:val="auto"/>
              </w:rPr>
              <w:t>2023</w:t>
            </w:r>
          </w:p>
        </w:tc>
        <w:tc>
          <w:tcPr>
            <w:tcW w:w="140" w:type="dxa"/>
            <w:vAlign w:val="bottom"/>
          </w:tcPr>
          <w:p>
            <w:pPr>
              <w:spacing w:after="0"/>
              <w:rPr>
                <w:sz w:val="12"/>
                <w:szCs w:val="12"/>
                <w:color w:val="auto"/>
              </w:rPr>
            </w:pPr>
          </w:p>
        </w:tc>
        <w:tc>
          <w:tcPr>
            <w:tcW w:w="182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color w:val="auto"/>
              </w:rPr>
              <w:t>142,411-13,312 TEU</w:t>
            </w:r>
          </w:p>
        </w:tc>
        <w:tc>
          <w:tcPr>
            <w:tcW w:w="140" w:type="dxa"/>
            <w:vAlign w:val="bottom"/>
          </w:tcPr>
          <w:p>
            <w:pPr>
              <w:spacing w:after="0"/>
              <w:rPr>
                <w:sz w:val="12"/>
                <w:szCs w:val="12"/>
                <w:color w:val="auto"/>
              </w:rPr>
            </w:pPr>
          </w:p>
        </w:tc>
        <w:tc>
          <w:tcPr>
            <w:tcW w:w="120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color w:val="auto"/>
              </w:rPr>
              <w:t>Jan-28</w:t>
            </w:r>
          </w:p>
        </w:tc>
        <w:tc>
          <w:tcPr>
            <w:tcW w:w="140" w:type="dxa"/>
            <w:vAlign w:val="bottom"/>
          </w:tcPr>
          <w:p>
            <w:pPr>
              <w:spacing w:after="0"/>
              <w:rPr>
                <w:sz w:val="12"/>
                <w:szCs w:val="12"/>
                <w:color w:val="auto"/>
              </w:rPr>
            </w:pPr>
          </w:p>
        </w:tc>
        <w:tc>
          <w:tcPr>
            <w:tcW w:w="84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color w:val="auto"/>
                <w:w w:val="99"/>
              </w:rPr>
              <w:t>10-yr TC</w:t>
            </w:r>
          </w:p>
        </w:tc>
        <w:tc>
          <w:tcPr>
            <w:tcW w:w="14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color w:val="auto"/>
                <w:w w:val="99"/>
              </w:rPr>
              <w:t>Oct-32</w:t>
            </w:r>
          </w:p>
        </w:tc>
        <w:tc>
          <w:tcPr>
            <w:tcW w:w="14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color w:val="auto"/>
              </w:rPr>
              <w:t>Hapag-Lloyd</w:t>
            </w:r>
          </w:p>
        </w:tc>
        <w:tc>
          <w:tcPr>
            <w:tcW w:w="140" w:type="dxa"/>
            <w:vAlign w:val="bottom"/>
          </w:tcPr>
          <w:p>
            <w:pPr>
              <w:spacing w:after="0"/>
              <w:rPr>
                <w:sz w:val="12"/>
                <w:szCs w:val="12"/>
                <w:color w:val="auto"/>
              </w:rPr>
            </w:pPr>
          </w:p>
        </w:tc>
        <w:tc>
          <w:tcPr>
            <w:tcW w:w="166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3"/>
                <w:szCs w:val="13"/>
                <w:color w:val="auto"/>
              </w:rPr>
              <w:t>Dual Fuel Ready Eco</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color w:val="auto"/>
              </w:rPr>
              <w:t>Container Carrier</w:t>
            </w:r>
          </w:p>
        </w:tc>
        <w:tc>
          <w:tcPr>
            <w:tcW w:w="0" w:type="dxa"/>
            <w:vAlign w:val="bottom"/>
          </w:tcPr>
          <w:p>
            <w:pPr>
              <w:spacing w:after="0"/>
              <w:rPr>
                <w:sz w:val="1"/>
                <w:szCs w:val="1"/>
                <w:color w:val="auto"/>
              </w:rPr>
            </w:pPr>
          </w:p>
        </w:tc>
      </w:tr>
      <w:tr>
        <w:trPr>
          <w:trHeight w:val="140"/>
        </w:trPr>
        <w:tc>
          <w:tcPr>
            <w:tcW w:w="80" w:type="dxa"/>
            <w:vAlign w:val="bottom"/>
            <w:tcBorders>
              <w:bottom w:val="single" w:sz="8" w:color="CCEEFF"/>
              <w:right w:val="single" w:sz="8" w:color="CCEEFF"/>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LNG/C VESSELS</w:t>
            </w:r>
          </w:p>
        </w:tc>
        <w:tc>
          <w:tcPr>
            <w:tcW w:w="5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8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Aristos I (6)</w:t>
            </w:r>
          </w:p>
        </w:tc>
        <w:tc>
          <w:tcPr>
            <w:tcW w:w="14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B</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2020</w:t>
            </w:r>
          </w:p>
        </w:tc>
        <w:tc>
          <w:tcPr>
            <w:tcW w:w="14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81,978-174,000 CBM</w:t>
            </w:r>
          </w:p>
        </w:tc>
        <w:tc>
          <w:tcPr>
            <w:tcW w:w="14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Sep-26</w:t>
            </w:r>
          </w:p>
        </w:tc>
        <w:tc>
          <w:tcPr>
            <w:tcW w:w="1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12-yr TC</w:t>
            </w:r>
          </w:p>
        </w:tc>
        <w:tc>
          <w:tcPr>
            <w:tcW w:w="1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Oct-32</w:t>
            </w:r>
          </w:p>
        </w:tc>
        <w:tc>
          <w:tcPr>
            <w:tcW w:w="1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BP</w:t>
            </w:r>
          </w:p>
        </w:tc>
        <w:tc>
          <w:tcPr>
            <w:tcW w:w="140" w:type="dxa"/>
            <w:vAlign w:val="bottom"/>
          </w:tcPr>
          <w:p>
            <w:pPr>
              <w:spacing w:after="0"/>
              <w:rPr>
                <w:sz w:val="13"/>
                <w:szCs w:val="13"/>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LNG/C</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 w:type="dxa"/>
            <w:vAlign w:val="bottom"/>
            <w:tcBorders>
              <w:right w:val="single" w:sz="8" w:color="CCEEFF"/>
            </w:tcBorders>
            <w:shd w:val="clear" w:color="auto" w:fill="CCEEFF"/>
          </w:tcPr>
          <w:p>
            <w:pPr>
              <w:spacing w:after="0"/>
              <w:rPr>
                <w:sz w:val="13"/>
                <w:szCs w:val="13"/>
                <w:color w:val="auto"/>
              </w:rPr>
            </w:pP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Aristarchos (7)</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B</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2021</w:t>
            </w:r>
          </w:p>
        </w:tc>
        <w:tc>
          <w:tcPr>
            <w:tcW w:w="140" w:type="dxa"/>
            <w:vAlign w:val="bottom"/>
            <w:shd w:val="clear" w:color="auto" w:fill="CCEEFF"/>
          </w:tcPr>
          <w:p>
            <w:pPr>
              <w:spacing w:after="0"/>
              <w:rPr>
                <w:sz w:val="13"/>
                <w:szCs w:val="13"/>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81,956-174,000 CBM</w:t>
            </w: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Sep-26</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10-yr TC</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May-31</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Cheniere</w:t>
            </w:r>
          </w:p>
        </w:tc>
        <w:tc>
          <w:tcPr>
            <w:tcW w:w="140" w:type="dxa"/>
            <w:vAlign w:val="bottom"/>
            <w:shd w:val="clear" w:color="auto" w:fill="CCEEFF"/>
          </w:tcPr>
          <w:p>
            <w:pPr>
              <w:spacing w:after="0"/>
              <w:rPr>
                <w:sz w:val="13"/>
                <w:szCs w:val="13"/>
                <w:color w:val="auto"/>
              </w:rPr>
            </w:pPr>
          </w:p>
        </w:tc>
        <w:tc>
          <w:tcPr>
            <w:tcW w:w="166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LNG/C</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Aristidis I (6)</w:t>
            </w:r>
          </w:p>
        </w:tc>
        <w:tc>
          <w:tcPr>
            <w:tcW w:w="14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B</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2021</w:t>
            </w:r>
          </w:p>
        </w:tc>
        <w:tc>
          <w:tcPr>
            <w:tcW w:w="14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81,898-174,000 CBM</w:t>
            </w:r>
          </w:p>
        </w:tc>
        <w:tc>
          <w:tcPr>
            <w:tcW w:w="14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Dec-26</w:t>
            </w:r>
          </w:p>
        </w:tc>
        <w:tc>
          <w:tcPr>
            <w:tcW w:w="1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12-yr TC</w:t>
            </w:r>
          </w:p>
        </w:tc>
        <w:tc>
          <w:tcPr>
            <w:tcW w:w="1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Dec-32</w:t>
            </w:r>
          </w:p>
        </w:tc>
        <w:tc>
          <w:tcPr>
            <w:tcW w:w="1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BP</w:t>
            </w:r>
          </w:p>
        </w:tc>
        <w:tc>
          <w:tcPr>
            <w:tcW w:w="140" w:type="dxa"/>
            <w:vAlign w:val="bottom"/>
          </w:tcPr>
          <w:p>
            <w:pPr>
              <w:spacing w:after="0"/>
              <w:rPr>
                <w:sz w:val="13"/>
                <w:szCs w:val="13"/>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LNG/C</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 w:type="dxa"/>
            <w:vAlign w:val="bottom"/>
            <w:tcBorders>
              <w:right w:val="single" w:sz="8" w:color="CCEEFF"/>
            </w:tcBorders>
            <w:shd w:val="clear" w:color="auto" w:fill="CCEEFF"/>
          </w:tcPr>
          <w:p>
            <w:pPr>
              <w:spacing w:after="0"/>
              <w:rPr>
                <w:sz w:val="13"/>
                <w:szCs w:val="13"/>
                <w:color w:val="auto"/>
              </w:rPr>
            </w:pP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Attalos (6)</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B</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2021</w:t>
            </w:r>
          </w:p>
        </w:tc>
        <w:tc>
          <w:tcPr>
            <w:tcW w:w="140" w:type="dxa"/>
            <w:vAlign w:val="bottom"/>
            <w:shd w:val="clear" w:color="auto" w:fill="CCEEFF"/>
          </w:tcPr>
          <w:p>
            <w:pPr>
              <w:spacing w:after="0"/>
              <w:rPr>
                <w:sz w:val="13"/>
                <w:szCs w:val="13"/>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81,850-174,000 CBM</w:t>
            </w: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Nov-26</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13.2-yr TC</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Oct-34</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BP</w:t>
            </w:r>
          </w:p>
        </w:tc>
        <w:tc>
          <w:tcPr>
            <w:tcW w:w="140" w:type="dxa"/>
            <w:vAlign w:val="bottom"/>
            <w:shd w:val="clear" w:color="auto" w:fill="CCEEFF"/>
          </w:tcPr>
          <w:p>
            <w:pPr>
              <w:spacing w:after="0"/>
              <w:rPr>
                <w:sz w:val="13"/>
                <w:szCs w:val="13"/>
                <w:color w:val="auto"/>
              </w:rPr>
            </w:pPr>
          </w:p>
        </w:tc>
        <w:tc>
          <w:tcPr>
            <w:tcW w:w="166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LNG/C</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Adamastos (8)</w:t>
            </w:r>
          </w:p>
        </w:tc>
        <w:tc>
          <w:tcPr>
            <w:tcW w:w="14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B</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2021</w:t>
            </w:r>
          </w:p>
        </w:tc>
        <w:tc>
          <w:tcPr>
            <w:tcW w:w="14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82,095-174,000 CBM</w:t>
            </w:r>
          </w:p>
        </w:tc>
        <w:tc>
          <w:tcPr>
            <w:tcW w:w="14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Nov-26</w:t>
            </w:r>
          </w:p>
        </w:tc>
        <w:tc>
          <w:tcPr>
            <w:tcW w:w="1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7.2-yr TC</w:t>
            </w:r>
          </w:p>
        </w:tc>
        <w:tc>
          <w:tcPr>
            <w:tcW w:w="1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Sep-28</w:t>
            </w:r>
          </w:p>
        </w:tc>
        <w:tc>
          <w:tcPr>
            <w:tcW w:w="1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Engie</w:t>
            </w:r>
          </w:p>
        </w:tc>
        <w:tc>
          <w:tcPr>
            <w:tcW w:w="140" w:type="dxa"/>
            <w:vAlign w:val="bottom"/>
          </w:tcPr>
          <w:p>
            <w:pPr>
              <w:spacing w:after="0"/>
              <w:rPr>
                <w:sz w:val="13"/>
                <w:szCs w:val="13"/>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LNG/C</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 w:type="dxa"/>
            <w:vAlign w:val="bottom"/>
            <w:tcBorders>
              <w:right w:val="single" w:sz="8" w:color="CCEEFF"/>
            </w:tcBorders>
            <w:shd w:val="clear" w:color="auto" w:fill="CCEEFF"/>
          </w:tcPr>
          <w:p>
            <w:pPr>
              <w:spacing w:after="0"/>
              <w:rPr>
                <w:sz w:val="13"/>
                <w:szCs w:val="13"/>
                <w:color w:val="auto"/>
              </w:rPr>
            </w:pP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Asklipios (7)</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B</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2021</w:t>
            </w:r>
          </w:p>
        </w:tc>
        <w:tc>
          <w:tcPr>
            <w:tcW w:w="140" w:type="dxa"/>
            <w:vAlign w:val="bottom"/>
            <w:shd w:val="clear" w:color="auto" w:fill="CCEEFF"/>
          </w:tcPr>
          <w:p>
            <w:pPr>
              <w:spacing w:after="0"/>
              <w:rPr>
                <w:sz w:val="13"/>
                <w:szCs w:val="13"/>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81,882-174,000 CBM</w:t>
            </w: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Nov-26</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10-yr TC</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Aug-31</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Cheniere</w:t>
            </w:r>
          </w:p>
        </w:tc>
        <w:tc>
          <w:tcPr>
            <w:tcW w:w="140" w:type="dxa"/>
            <w:vAlign w:val="bottom"/>
            <w:shd w:val="clear" w:color="auto" w:fill="CCEEFF"/>
          </w:tcPr>
          <w:p>
            <w:pPr>
              <w:spacing w:after="0"/>
              <w:rPr>
                <w:sz w:val="13"/>
                <w:szCs w:val="13"/>
                <w:color w:val="auto"/>
              </w:rPr>
            </w:pPr>
          </w:p>
        </w:tc>
        <w:tc>
          <w:tcPr>
            <w:tcW w:w="166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LNG/C</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Asterix I (9)</w:t>
            </w:r>
          </w:p>
        </w:tc>
        <w:tc>
          <w:tcPr>
            <w:tcW w:w="14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B</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2023</w:t>
            </w:r>
          </w:p>
        </w:tc>
        <w:tc>
          <w:tcPr>
            <w:tcW w:w="14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81,932-174,000 CBM</w:t>
            </w:r>
          </w:p>
        </w:tc>
        <w:tc>
          <w:tcPr>
            <w:tcW w:w="14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Feb-28</w:t>
            </w:r>
          </w:p>
        </w:tc>
        <w:tc>
          <w:tcPr>
            <w:tcW w:w="1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7-yr TC</w:t>
            </w:r>
          </w:p>
        </w:tc>
        <w:tc>
          <w:tcPr>
            <w:tcW w:w="1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Dec-29</w:t>
            </w:r>
          </w:p>
        </w:tc>
        <w:tc>
          <w:tcPr>
            <w:tcW w:w="1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Hartree</w:t>
            </w:r>
          </w:p>
        </w:tc>
        <w:tc>
          <w:tcPr>
            <w:tcW w:w="140" w:type="dxa"/>
            <w:vAlign w:val="bottom"/>
          </w:tcPr>
          <w:p>
            <w:pPr>
              <w:spacing w:after="0"/>
              <w:rPr>
                <w:sz w:val="13"/>
                <w:szCs w:val="13"/>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LNG/C</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80" w:type="dxa"/>
            <w:vAlign w:val="bottom"/>
            <w:tcBorders>
              <w:right w:val="single" w:sz="8" w:color="CCEEFF"/>
            </w:tcBorders>
            <w:shd w:val="clear" w:color="auto" w:fill="CCEEFF"/>
          </w:tcPr>
          <w:p>
            <w:pPr>
              <w:spacing w:after="0"/>
              <w:rPr>
                <w:sz w:val="12"/>
                <w:szCs w:val="12"/>
                <w:color w:val="auto"/>
              </w:rPr>
            </w:pPr>
          </w:p>
        </w:tc>
        <w:tc>
          <w:tcPr>
            <w:tcW w:w="156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Amore Mio I (11)</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spacing w:after="0" w:line="147" w:lineRule="exact"/>
              <w:rPr>
                <w:sz w:val="20"/>
                <w:szCs w:val="20"/>
                <w:color w:val="auto"/>
              </w:rPr>
            </w:pPr>
            <w:r>
              <w:rPr>
                <w:rFonts w:ascii="Times New Roman" w:cs="Times New Roman" w:eastAsia="Times New Roman" w:hAnsi="Times New Roman"/>
                <w:sz w:val="13"/>
                <w:szCs w:val="13"/>
                <w:color w:val="auto"/>
              </w:rPr>
              <w:t>B</w:t>
            </w:r>
          </w:p>
        </w:tc>
        <w:tc>
          <w:tcPr>
            <w:tcW w:w="500" w:type="dxa"/>
            <w:vAlign w:val="bottom"/>
            <w:gridSpan w:val="2"/>
            <w:shd w:val="clear" w:color="auto" w:fill="CCEEFF"/>
          </w:tcPr>
          <w:p>
            <w:pPr>
              <w:ind w:left="180"/>
              <w:spacing w:after="0" w:line="147" w:lineRule="exact"/>
              <w:rPr>
                <w:sz w:val="20"/>
                <w:szCs w:val="20"/>
                <w:color w:val="auto"/>
              </w:rPr>
            </w:pPr>
            <w:r>
              <w:rPr>
                <w:rFonts w:ascii="Times New Roman" w:cs="Times New Roman" w:eastAsia="Times New Roman" w:hAnsi="Times New Roman"/>
                <w:sz w:val="13"/>
                <w:szCs w:val="13"/>
                <w:color w:val="auto"/>
              </w:rPr>
              <w:t>2023</w:t>
            </w:r>
          </w:p>
        </w:tc>
        <w:tc>
          <w:tcPr>
            <w:tcW w:w="140" w:type="dxa"/>
            <w:vAlign w:val="bottom"/>
            <w:shd w:val="clear" w:color="auto" w:fill="CCEEFF"/>
          </w:tcPr>
          <w:p>
            <w:pPr>
              <w:spacing w:after="0"/>
              <w:rPr>
                <w:sz w:val="12"/>
                <w:szCs w:val="12"/>
                <w:color w:val="auto"/>
              </w:rPr>
            </w:pPr>
          </w:p>
        </w:tc>
        <w:tc>
          <w:tcPr>
            <w:tcW w:w="182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3"/>
                <w:szCs w:val="13"/>
                <w:color w:val="auto"/>
              </w:rPr>
              <w:t>82,076-174,000 CBM</w:t>
            </w: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3"/>
                <w:szCs w:val="13"/>
                <w:color w:val="auto"/>
                <w:w w:val="99"/>
              </w:rPr>
              <w:t>Dec-28</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3"/>
                <w:szCs w:val="13"/>
                <w:color w:val="auto"/>
              </w:rPr>
              <w:t>3-yr TC</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3"/>
                <w:szCs w:val="13"/>
                <w:color w:val="auto"/>
              </w:rPr>
              <w:t>Sep-26</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3"/>
                <w:szCs w:val="13"/>
                <w:color w:val="auto"/>
              </w:rPr>
              <w:t>Qatar Energy</w:t>
            </w:r>
          </w:p>
        </w:tc>
        <w:tc>
          <w:tcPr>
            <w:tcW w:w="140" w:type="dxa"/>
            <w:vAlign w:val="bottom"/>
            <w:shd w:val="clear" w:color="auto" w:fill="CCEEFF"/>
          </w:tcPr>
          <w:p>
            <w:pPr>
              <w:spacing w:after="0"/>
              <w:rPr>
                <w:sz w:val="12"/>
                <w:szCs w:val="12"/>
                <w:color w:val="auto"/>
              </w:rPr>
            </w:pPr>
          </w:p>
        </w:tc>
        <w:tc>
          <w:tcPr>
            <w:tcW w:w="1660" w:type="dxa"/>
            <w:vAlign w:val="bottom"/>
            <w:tcBorders>
              <w:right w:val="single" w:sz="8" w:color="CCEEFF"/>
            </w:tcBorders>
            <w:gridSpan w:val="2"/>
            <w:shd w:val="clear" w:color="auto" w:fill="CCEEFF"/>
          </w:tcPr>
          <w:p>
            <w:pPr>
              <w:jc w:val="center"/>
              <w:spacing w:after="0" w:line="147" w:lineRule="exact"/>
              <w:rPr>
                <w:sz w:val="20"/>
                <w:szCs w:val="20"/>
                <w:color w:val="auto"/>
              </w:rPr>
            </w:pPr>
            <w:r>
              <w:rPr>
                <w:rFonts w:ascii="Times New Roman" w:cs="Times New Roman" w:eastAsia="Times New Roman" w:hAnsi="Times New Roman"/>
                <w:sz w:val="13"/>
                <w:szCs w:val="13"/>
                <w:color w:val="auto"/>
              </w:rPr>
              <w:t>LNG/C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0" w:type="dxa"/>
            <w:vAlign w:val="bottom"/>
            <w:tcBorders>
              <w:right w:val="single" w:sz="8" w:color="CCEEFF"/>
            </w:tcBorders>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Trading</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Axios II (12)</w:t>
            </w:r>
          </w:p>
        </w:tc>
        <w:tc>
          <w:tcPr>
            <w:tcW w:w="14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B</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2024</w:t>
            </w:r>
          </w:p>
        </w:tc>
        <w:tc>
          <w:tcPr>
            <w:tcW w:w="14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82,271-174,000 CBM</w:t>
            </w:r>
          </w:p>
        </w:tc>
        <w:tc>
          <w:tcPr>
            <w:tcW w:w="14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Jan-29</w:t>
            </w:r>
          </w:p>
        </w:tc>
        <w:tc>
          <w:tcPr>
            <w:tcW w:w="1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7-yr BB</w:t>
            </w:r>
          </w:p>
        </w:tc>
        <w:tc>
          <w:tcPr>
            <w:tcW w:w="1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Dec-31</w:t>
            </w:r>
          </w:p>
        </w:tc>
        <w:tc>
          <w:tcPr>
            <w:tcW w:w="1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BGT</w:t>
            </w:r>
          </w:p>
        </w:tc>
        <w:tc>
          <w:tcPr>
            <w:tcW w:w="140" w:type="dxa"/>
            <w:vAlign w:val="bottom"/>
          </w:tcPr>
          <w:p>
            <w:pPr>
              <w:spacing w:after="0"/>
              <w:rPr>
                <w:sz w:val="13"/>
                <w:szCs w:val="13"/>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LNG/C</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 w:type="dxa"/>
            <w:vAlign w:val="bottom"/>
            <w:tcBorders>
              <w:right w:val="single" w:sz="8" w:color="CCEEFF"/>
            </w:tcBorders>
            <w:shd w:val="clear" w:color="auto" w:fill="CCEEFF"/>
          </w:tcPr>
          <w:p>
            <w:pPr>
              <w:spacing w:after="0"/>
              <w:rPr>
                <w:sz w:val="13"/>
                <w:szCs w:val="13"/>
                <w:color w:val="auto"/>
              </w:rPr>
            </w:pP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Assos (13)</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B</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2024</w:t>
            </w:r>
          </w:p>
        </w:tc>
        <w:tc>
          <w:tcPr>
            <w:tcW w:w="140" w:type="dxa"/>
            <w:vAlign w:val="bottom"/>
            <w:shd w:val="clear" w:color="auto" w:fill="CCEEFF"/>
          </w:tcPr>
          <w:p>
            <w:pPr>
              <w:spacing w:after="0"/>
              <w:rPr>
                <w:sz w:val="13"/>
                <w:szCs w:val="13"/>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82,306-174,000 CBM</w:t>
            </w: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May-29</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10-yr TC</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May-34</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Tokyo Gas</w:t>
            </w:r>
          </w:p>
        </w:tc>
        <w:tc>
          <w:tcPr>
            <w:tcW w:w="140" w:type="dxa"/>
            <w:vAlign w:val="bottom"/>
            <w:shd w:val="clear" w:color="auto" w:fill="CCEEFF"/>
          </w:tcPr>
          <w:p>
            <w:pPr>
              <w:spacing w:after="0"/>
              <w:rPr>
                <w:sz w:val="13"/>
                <w:szCs w:val="13"/>
                <w:color w:val="auto"/>
              </w:rPr>
            </w:pPr>
          </w:p>
        </w:tc>
        <w:tc>
          <w:tcPr>
            <w:tcW w:w="166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LNG/C</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Aktoras (14)</w:t>
            </w:r>
          </w:p>
        </w:tc>
        <w:tc>
          <w:tcPr>
            <w:tcW w:w="14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C</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2024</w:t>
            </w:r>
          </w:p>
        </w:tc>
        <w:tc>
          <w:tcPr>
            <w:tcW w:w="14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82,068-174,000 CBM</w:t>
            </w:r>
          </w:p>
        </w:tc>
        <w:tc>
          <w:tcPr>
            <w:tcW w:w="14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Jun-29</w:t>
            </w:r>
          </w:p>
        </w:tc>
        <w:tc>
          <w:tcPr>
            <w:tcW w:w="1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7-yr BB</w:t>
            </w:r>
          </w:p>
        </w:tc>
        <w:tc>
          <w:tcPr>
            <w:tcW w:w="1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May-31</w:t>
            </w:r>
          </w:p>
        </w:tc>
        <w:tc>
          <w:tcPr>
            <w:tcW w:w="1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BGT</w:t>
            </w:r>
          </w:p>
        </w:tc>
        <w:tc>
          <w:tcPr>
            <w:tcW w:w="140" w:type="dxa"/>
            <w:vAlign w:val="bottom"/>
          </w:tcPr>
          <w:p>
            <w:pPr>
              <w:spacing w:after="0"/>
              <w:rPr>
                <w:sz w:val="13"/>
                <w:szCs w:val="13"/>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LNG/C</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 w:type="dxa"/>
            <w:vAlign w:val="bottom"/>
            <w:tcBorders>
              <w:right w:val="single" w:sz="8" w:color="CCEEFF"/>
            </w:tcBorders>
            <w:shd w:val="clear" w:color="auto" w:fill="CCEEFF"/>
          </w:tcPr>
          <w:p>
            <w:pPr>
              <w:spacing w:after="0"/>
              <w:rPr>
                <w:sz w:val="13"/>
                <w:szCs w:val="13"/>
                <w:color w:val="auto"/>
              </w:rPr>
            </w:pP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Apostolos (15)</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B</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2024</w:t>
            </w:r>
          </w:p>
        </w:tc>
        <w:tc>
          <w:tcPr>
            <w:tcW w:w="140" w:type="dxa"/>
            <w:vAlign w:val="bottom"/>
            <w:shd w:val="clear" w:color="auto" w:fill="CCEEFF"/>
          </w:tcPr>
          <w:p>
            <w:pPr>
              <w:spacing w:after="0"/>
              <w:rPr>
                <w:sz w:val="13"/>
                <w:szCs w:val="13"/>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82,194-174,000 CBM</w:t>
            </w: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Jun-29</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10.5-yr TC</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Nov-34</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Jera</w:t>
            </w:r>
          </w:p>
        </w:tc>
        <w:tc>
          <w:tcPr>
            <w:tcW w:w="140" w:type="dxa"/>
            <w:vAlign w:val="bottom"/>
            <w:shd w:val="clear" w:color="auto" w:fill="CCEEFF"/>
          </w:tcPr>
          <w:p>
            <w:pPr>
              <w:spacing w:after="0"/>
              <w:rPr>
                <w:sz w:val="13"/>
                <w:szCs w:val="13"/>
                <w:color w:val="auto"/>
              </w:rPr>
            </w:pPr>
          </w:p>
        </w:tc>
        <w:tc>
          <w:tcPr>
            <w:tcW w:w="166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LNG/C</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Active (16)</w:t>
            </w:r>
          </w:p>
        </w:tc>
        <w:tc>
          <w:tcPr>
            <w:tcW w:w="14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D</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2026</w:t>
            </w:r>
          </w:p>
        </w:tc>
        <w:tc>
          <w:tcPr>
            <w:tcW w:w="1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28,629-22,000 CBM</w:t>
            </w:r>
          </w:p>
        </w:tc>
        <w:tc>
          <w:tcPr>
            <w:tcW w:w="1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Jan-31</w:t>
            </w: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0.5-yr TC</w:t>
            </w:r>
          </w:p>
        </w:tc>
        <w:tc>
          <w:tcPr>
            <w:tcW w:w="1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Jun-26</w:t>
            </w:r>
          </w:p>
        </w:tc>
        <w:tc>
          <w:tcPr>
            <w:tcW w:w="1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Geogas</w:t>
            </w:r>
          </w:p>
        </w:tc>
        <w:tc>
          <w:tcPr>
            <w:tcW w:w="140" w:type="dxa"/>
            <w:vAlign w:val="bottom"/>
          </w:tcPr>
          <w:p>
            <w:pPr>
              <w:spacing w:after="0"/>
              <w:rPr>
                <w:sz w:val="14"/>
                <w:szCs w:val="14"/>
                <w:color w:val="auto"/>
              </w:rPr>
            </w:pPr>
          </w:p>
        </w:tc>
        <w:tc>
          <w:tcPr>
            <w:tcW w:w="1660" w:type="dxa"/>
            <w:vAlign w:val="bottom"/>
            <w:gridSpan w:val="2"/>
          </w:tcPr>
          <w:p>
            <w:pPr>
              <w:jc w:val="center"/>
              <w:spacing w:after="0" w:line="170" w:lineRule="exact"/>
              <w:rPr>
                <w:sz w:val="20"/>
                <w:szCs w:val="20"/>
                <w:color w:val="auto"/>
              </w:rPr>
            </w:pPr>
            <w:r>
              <w:rPr>
                <w:rFonts w:ascii="Times New Roman" w:cs="Times New Roman" w:eastAsia="Times New Roman" w:hAnsi="Times New Roman"/>
                <w:sz w:val="12"/>
                <w:szCs w:val="12"/>
                <w:color w:val="auto"/>
              </w:rPr>
              <w:t>LCO</w:t>
            </w:r>
            <w:r>
              <w:rPr>
                <w:rFonts w:ascii="Times New Roman" w:cs="Times New Roman" w:eastAsia="Times New Roman" w:hAnsi="Times New Roman"/>
                <w:sz w:val="19"/>
                <w:szCs w:val="19"/>
                <w:color w:val="auto"/>
                <w:vertAlign w:val="subscript"/>
              </w:rPr>
              <w:t>2</w:t>
            </w:r>
            <w:r>
              <w:rPr>
                <w:rFonts w:ascii="Times New Roman" w:cs="Times New Roman" w:eastAsia="Times New Roman" w:hAnsi="Times New Roman"/>
                <w:sz w:val="12"/>
                <w:szCs w:val="12"/>
                <w:color w:val="auto"/>
              </w:rPr>
              <w:t xml:space="preserve"> – HMG/C</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0" w:type="dxa"/>
            <w:vAlign w:val="bottom"/>
            <w:tcBorders>
              <w:right w:val="single" w:sz="8" w:color="CCEEFF"/>
            </w:tcBorders>
            <w:shd w:val="clear" w:color="auto" w:fill="CCEEFF"/>
          </w:tcPr>
          <w:p>
            <w:pPr>
              <w:spacing w:after="0"/>
              <w:rPr>
                <w:sz w:val="13"/>
                <w:szCs w:val="13"/>
                <w:color w:val="auto"/>
              </w:rPr>
            </w:pP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FLEET</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1,155,546 DWT-13,312 TEU-2,110,000 CBM</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9"/>
        </w:trPr>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40" w:type="dxa"/>
            <w:vAlign w:val="bottom"/>
            <w:gridSpan w:val="2"/>
          </w:tcPr>
          <w:p>
            <w:pPr>
              <w:jc w:val="center"/>
              <w:ind w:left="33"/>
              <w:spacing w:after="0"/>
              <w:rPr>
                <w:sz w:val="20"/>
                <w:szCs w:val="20"/>
                <w:color w:val="auto"/>
              </w:rPr>
            </w:pPr>
            <w:r>
              <w:rPr>
                <w:rFonts w:ascii="Times New Roman" w:cs="Times New Roman" w:eastAsia="Times New Roman" w:hAnsi="Times New Roman"/>
                <w:sz w:val="13"/>
                <w:szCs w:val="13"/>
                <w:color w:val="auto"/>
                <w:w w:val="91"/>
              </w:rPr>
              <w:t>67</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3"/>
                <w:szCs w:val="13"/>
                <w:color w:val="0000EE"/>
              </w:rPr>
              <w:t>Table of Contents</w:t>
            </w:r>
          </w:p>
        </w:tc>
        <w:tc>
          <w:tcPr>
            <w:tcW w:w="0" w:type="dxa"/>
            <w:vAlign w:val="bottom"/>
          </w:tcPr>
          <w:p>
            <w:pPr>
              <w:spacing w:after="0"/>
              <w:rPr>
                <w:sz w:val="1"/>
                <w:szCs w:val="1"/>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00" w:top="544" w:right="319" w:bottom="1440" w:gutter="0" w:footer="0" w:header="0"/>
        </w:sectPr>
      </w:pPr>
    </w:p>
    <w:bookmarkStart w:id="68" w:name="page69"/>
    <w:bookmarkEnd w:id="68"/>
    <w:p>
      <w:pPr>
        <w:ind w:left="240" w:hanging="240"/>
        <w:spacing w:after="0"/>
        <w:tabs>
          <w:tab w:leader="none" w:pos="24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Sister vessels and shipyards of origin are denoted in the tables by the following letters: (A): this vessel was built by Hyundai Samho Heavy Industries Co. Ltd; (B): these LNG/C vessels were built by Hyundai Heavy Industries Co.,</w:t>
      </w:r>
    </w:p>
    <w:p>
      <w:pPr>
        <w:spacing w:after="0" w:line="28" w:lineRule="exact"/>
        <w:rPr>
          <w:rFonts w:ascii="Times New Roman" w:cs="Times New Roman" w:eastAsia="Times New Roman" w:hAnsi="Times New Roman"/>
          <w:sz w:val="11"/>
          <w:szCs w:val="11"/>
          <w:color w:val="auto"/>
        </w:rPr>
      </w:pPr>
    </w:p>
    <w:p>
      <w:pPr>
        <w:ind w:left="240"/>
        <w:spacing w:after="0" w:line="19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Ltd; (C): this LNG/C vessel was built by HD Hyundai Samho Co., Ltd; (D): this LCO</w:t>
      </w:r>
      <w:r>
        <w:rPr>
          <w:rFonts w:ascii="Times New Roman" w:cs="Times New Roman" w:eastAsia="Times New Roman" w:hAnsi="Times New Roman"/>
          <w:sz w:val="19"/>
          <w:szCs w:val="19"/>
          <w:color w:val="auto"/>
          <w:vertAlign w:val="subscript"/>
        </w:rPr>
        <w:t>2</w:t>
      </w:r>
      <w:r>
        <w:rPr>
          <w:rFonts w:ascii="Times New Roman" w:cs="Times New Roman" w:eastAsia="Times New Roman" w:hAnsi="Times New Roman"/>
          <w:sz w:val="12"/>
          <w:szCs w:val="12"/>
          <w:color w:val="auto"/>
        </w:rPr>
        <w:t xml:space="preserve"> – HMG/C vessel was built by Hyundai Mipo Dockyard Co., Ltd.</w:t>
      </w:r>
    </w:p>
    <w:p>
      <w:pPr>
        <w:spacing w:after="0" w:line="161" w:lineRule="exact"/>
        <w:rPr>
          <w:rFonts w:ascii="Times New Roman" w:cs="Times New Roman" w:eastAsia="Times New Roman" w:hAnsi="Times New Roman"/>
          <w:sz w:val="11"/>
          <w:szCs w:val="11"/>
          <w:color w:val="auto"/>
        </w:rPr>
      </w:pPr>
    </w:p>
    <w:p>
      <w:pPr>
        <w:ind w:left="240" w:hanging="240"/>
        <w:spacing w:after="0"/>
        <w:tabs>
          <w:tab w:leader="none" w:pos="2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vessels are managed under floating fee management agreements entered into with certain of our Managers. For additional details regarding our management agreement, please see “-Our Management Agreements” above.</w:t>
      </w:r>
    </w:p>
    <w:p>
      <w:pPr>
        <w:spacing w:after="0" w:line="191" w:lineRule="exact"/>
        <w:rPr>
          <w:rFonts w:ascii="Times New Roman" w:cs="Times New Roman" w:eastAsia="Times New Roman" w:hAnsi="Times New Roman"/>
          <w:sz w:val="12"/>
          <w:szCs w:val="12"/>
          <w:color w:val="auto"/>
        </w:rPr>
      </w:pPr>
    </w:p>
    <w:p>
      <w:pPr>
        <w:ind w:left="240" w:hanging="240"/>
        <w:spacing w:after="0"/>
        <w:tabs>
          <w:tab w:leader="none" w:pos="2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TC: Time Charter; BB: Bareboat Charter.</w:t>
      </w:r>
    </w:p>
    <w:p>
      <w:pPr>
        <w:spacing w:after="0" w:line="191" w:lineRule="exact"/>
        <w:rPr>
          <w:rFonts w:ascii="Times New Roman" w:cs="Times New Roman" w:eastAsia="Times New Roman" w:hAnsi="Times New Roman"/>
          <w:sz w:val="12"/>
          <w:szCs w:val="12"/>
          <w:color w:val="auto"/>
        </w:rPr>
      </w:pPr>
    </w:p>
    <w:p>
      <w:pPr>
        <w:ind w:left="240" w:hanging="240"/>
        <w:spacing w:after="0"/>
        <w:tabs>
          <w:tab w:leader="none" w:pos="2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Earliest possible redelivery date.</w:t>
      </w:r>
    </w:p>
    <w:p>
      <w:pPr>
        <w:spacing w:after="0" w:line="191" w:lineRule="exact"/>
        <w:rPr>
          <w:rFonts w:ascii="Times New Roman" w:cs="Times New Roman" w:eastAsia="Times New Roman" w:hAnsi="Times New Roman"/>
          <w:sz w:val="12"/>
          <w:szCs w:val="12"/>
          <w:color w:val="auto"/>
        </w:rPr>
      </w:pPr>
    </w:p>
    <w:p>
      <w:pPr>
        <w:ind w:left="240" w:hanging="240"/>
        <w:spacing w:after="0"/>
        <w:tabs>
          <w:tab w:leader="none" w:pos="2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DWT: Dead Weight Ton, TEU: Twenty-foot Equivalent Units, CBM: Cubic Meter.</w:t>
      </w:r>
    </w:p>
    <w:p>
      <w:pPr>
        <w:spacing w:after="0" w:line="191" w:lineRule="exact"/>
        <w:rPr>
          <w:rFonts w:ascii="Times New Roman" w:cs="Times New Roman" w:eastAsia="Times New Roman" w:hAnsi="Times New Roman"/>
          <w:sz w:val="12"/>
          <w:szCs w:val="12"/>
          <w:color w:val="auto"/>
        </w:rPr>
      </w:pPr>
    </w:p>
    <w:p>
      <w:pPr>
        <w:jc w:val="both"/>
        <w:ind w:left="240" w:hanging="240"/>
        <w:spacing w:after="0" w:line="270" w:lineRule="auto"/>
        <w:tabs>
          <w:tab w:leader="none" w:pos="2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2019, each of the vessel-owning companies of the LNG/C Aristos I, the LNG/C Aristidis I and the LNG/C Attalos, entered into a time charter agreement with BP for a period of 3 years (+/- 30 days). The charterers have three two-year options (+/- 30 days) and one three-year option (+/- 30 days). The charters of the LNG/C Aristos I and the LNG/C Aristidis I commenced in November 2020 and January 2021 respectively. The charter of the LNG/C Attalos commenced in November 2022, previously the vessel was under a 15-month (+/- 30 days) time charter with BP. In February and March 2023, the charterer exercised its first option to extend the time charter of the LNG/C Aristos I and LNG/C Aristidis I by two years (+/- 30 days), respectively. In February 2025, the charterer exercised all the remaining options for all vessels.</w:t>
      </w:r>
    </w:p>
    <w:p>
      <w:pPr>
        <w:spacing w:after="0" w:line="157" w:lineRule="exact"/>
        <w:rPr>
          <w:rFonts w:ascii="Times New Roman" w:cs="Times New Roman" w:eastAsia="Times New Roman" w:hAnsi="Times New Roman"/>
          <w:sz w:val="12"/>
          <w:szCs w:val="12"/>
          <w:color w:val="auto"/>
        </w:rPr>
      </w:pPr>
    </w:p>
    <w:p>
      <w:pPr>
        <w:jc w:val="both"/>
        <w:ind w:left="240" w:hanging="240"/>
        <w:spacing w:after="0" w:line="274" w:lineRule="auto"/>
        <w:tabs>
          <w:tab w:leader="none" w:pos="2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April 2021, each of the vessel-owning companies of the LNG/C Aristarchos and the LNG/C Asklipios, entered into a time charter agreement with Cheniere until March 15, 2025 (+/- 30 days) and February 5, 2025 (+/- 30 days). Each charter has two one-year options (+/- 30 days). The charters of the LNG/C Aristarchos and the LNG/C Asklipios commenced in June 2021 and September 2021, respectively. In August 2022 both vessels amended their time charter agreement with Cheniere and extended them until June 14, 2031 (+/- 30 days) and September 28, 2031 (+/- 30 days), respectively. After the amendment each charter has two two-year options (+/- 30 days).</w:t>
      </w:r>
    </w:p>
    <w:p>
      <w:pPr>
        <w:spacing w:after="0" w:line="156" w:lineRule="exact"/>
        <w:rPr>
          <w:rFonts w:ascii="Times New Roman" w:cs="Times New Roman" w:eastAsia="Times New Roman" w:hAnsi="Times New Roman"/>
          <w:sz w:val="12"/>
          <w:szCs w:val="12"/>
          <w:color w:val="auto"/>
        </w:rPr>
      </w:pPr>
    </w:p>
    <w:p>
      <w:pPr>
        <w:ind w:left="240" w:hanging="240"/>
        <w:spacing w:after="0" w:line="289" w:lineRule="auto"/>
        <w:tabs>
          <w:tab w:leader="none" w:pos="2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July 2021, the vessel-owning company of the LNG/C Adamastos entered into a time charter agreement with Engie for a period of 1,890 days (+90/-45 days) or for a period of 2,620 days (+90/-45 days) if the charterer exercises its option on or prior to May 2023. The charter of the LNG/C Adamastos commenced in August 2021. In May 2022, the charterer elected the second period of 2,620 days (+90/-45 days).</w:t>
      </w:r>
    </w:p>
    <w:p>
      <w:pPr>
        <w:spacing w:after="0" w:line="146" w:lineRule="exact"/>
        <w:rPr>
          <w:rFonts w:ascii="Times New Roman" w:cs="Times New Roman" w:eastAsia="Times New Roman" w:hAnsi="Times New Roman"/>
          <w:sz w:val="12"/>
          <w:szCs w:val="12"/>
          <w:color w:val="auto"/>
        </w:rPr>
      </w:pPr>
    </w:p>
    <w:p>
      <w:pPr>
        <w:jc w:val="both"/>
        <w:ind w:left="240" w:hanging="240"/>
        <w:spacing w:after="0" w:line="274" w:lineRule="auto"/>
        <w:tabs>
          <w:tab w:leader="none" w:pos="2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January 2022, the vessel-owning company of the LNG/C Asterix I, entered into a time charter agreement with Hartree for a period of 1,825 days (+/-60 days) or for a period of 2,555 days (+/-60 days) if the charterer exercises its option on or prior to January 2025. The charter has one two-year option (+/- 30 days). In January 2023, the charterer selected the period of 2,555 days (+/-60 days). The charter of the LNG/C Asterix I commenced in February 2023.</w:t>
      </w:r>
    </w:p>
    <w:p>
      <w:pPr>
        <w:spacing w:after="0" w:line="156" w:lineRule="exact"/>
        <w:rPr>
          <w:rFonts w:ascii="Times New Roman" w:cs="Times New Roman" w:eastAsia="Times New Roman" w:hAnsi="Times New Roman"/>
          <w:sz w:val="12"/>
          <w:szCs w:val="12"/>
          <w:color w:val="auto"/>
        </w:rPr>
      </w:pPr>
    </w:p>
    <w:p>
      <w:pPr>
        <w:ind w:left="240" w:hanging="240"/>
        <w:spacing w:after="0" w:line="289" w:lineRule="auto"/>
        <w:tabs>
          <w:tab w:leader="none" w:pos="2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June 2021, the vessel-owning company of the M/V Itajai Express entered into a time charter agreement with Hapag-Lloyd for a period of 120 months (+/-90 days). The charterer have three two-year options (+/- 45 days). The charter of the M/V Itajai Express commenced in January 2023.</w:t>
      </w:r>
    </w:p>
    <w:p>
      <w:pPr>
        <w:spacing w:after="0" w:line="146" w:lineRule="exact"/>
        <w:rPr>
          <w:rFonts w:ascii="Times New Roman" w:cs="Times New Roman" w:eastAsia="Times New Roman" w:hAnsi="Times New Roman"/>
          <w:sz w:val="12"/>
          <w:szCs w:val="12"/>
          <w:color w:val="auto"/>
        </w:rPr>
      </w:pPr>
    </w:p>
    <w:p>
      <w:pPr>
        <w:ind w:left="240" w:hanging="240"/>
        <w:spacing w:after="0" w:line="289" w:lineRule="auto"/>
        <w:tabs>
          <w:tab w:leader="none" w:pos="2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October 2022, the company owning the LNG/C Amore Mio I, entered into a time charter agreement with Qatar Energy Trading for a period of up to October 1, 2026 (+/- 30 days). The time charter of the LNG/C Amore Mio I commenced on October 31, 2023.</w:t>
      </w:r>
    </w:p>
    <w:p>
      <w:pPr>
        <w:spacing w:after="0" w:line="146" w:lineRule="exact"/>
        <w:rPr>
          <w:rFonts w:ascii="Times New Roman" w:cs="Times New Roman" w:eastAsia="Times New Roman" w:hAnsi="Times New Roman"/>
          <w:sz w:val="12"/>
          <w:szCs w:val="12"/>
          <w:color w:val="auto"/>
        </w:rPr>
      </w:pPr>
    </w:p>
    <w:p>
      <w:pPr>
        <w:ind w:left="240" w:hanging="240"/>
        <w:spacing w:after="0" w:line="289" w:lineRule="auto"/>
        <w:tabs>
          <w:tab w:leader="none" w:pos="2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November 2023, the company owning the LNG/C Axios II agreed with BGT to enter into a seven year (+/-30 days) Bareboat charter. The charterer has the option to extend the charter for 36 months (+/- 30 days). The bareboat charter of the LNG/C Axios II commenced in January 2025.</w:t>
      </w:r>
    </w:p>
    <w:p>
      <w:pPr>
        <w:spacing w:after="0" w:line="146" w:lineRule="exact"/>
        <w:rPr>
          <w:rFonts w:ascii="Times New Roman" w:cs="Times New Roman" w:eastAsia="Times New Roman" w:hAnsi="Times New Roman"/>
          <w:sz w:val="12"/>
          <w:szCs w:val="12"/>
          <w:color w:val="auto"/>
        </w:rPr>
      </w:pPr>
    </w:p>
    <w:p>
      <w:pPr>
        <w:ind w:left="240" w:hanging="240"/>
        <w:spacing w:after="0"/>
        <w:tabs>
          <w:tab w:leader="none" w:pos="2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November 2022, the company owning the LNG/C Assos entered into a 10 year(+/- 30 days) time charter with Tokyo Gas. The time charter of the LNG/C Assos commenced on May 31,2024.</w:t>
      </w:r>
    </w:p>
    <w:p>
      <w:pPr>
        <w:spacing w:after="0" w:line="191" w:lineRule="exact"/>
        <w:rPr>
          <w:rFonts w:ascii="Times New Roman" w:cs="Times New Roman" w:eastAsia="Times New Roman" w:hAnsi="Times New Roman"/>
          <w:sz w:val="12"/>
          <w:szCs w:val="12"/>
          <w:color w:val="auto"/>
        </w:rPr>
      </w:pPr>
    </w:p>
    <w:p>
      <w:pPr>
        <w:ind w:left="240" w:hanging="240"/>
        <w:spacing w:after="0" w:line="289" w:lineRule="auto"/>
        <w:tabs>
          <w:tab w:leader="none" w:pos="2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August 2023, the company owning the LNG/C Aktoras agreed with BGT to enter into a seven year (+/- 30 days) Bareboat charter. The charterer has the option to extend the charter for 36 months (+/- 30 days). The bareboat charter of the LNG/C Aktoras commenced on June 5, 2024.</w:t>
      </w:r>
    </w:p>
    <w:p>
      <w:pPr>
        <w:spacing w:after="0" w:line="146" w:lineRule="exact"/>
        <w:rPr>
          <w:rFonts w:ascii="Times New Roman" w:cs="Times New Roman" w:eastAsia="Times New Roman" w:hAnsi="Times New Roman"/>
          <w:sz w:val="12"/>
          <w:szCs w:val="12"/>
          <w:color w:val="auto"/>
        </w:rPr>
      </w:pPr>
    </w:p>
    <w:p>
      <w:pPr>
        <w:ind w:left="240" w:hanging="240"/>
        <w:spacing w:after="0" w:line="289" w:lineRule="auto"/>
        <w:tabs>
          <w:tab w:leader="none" w:pos="2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May 2023, the company owning the LNG/C Apostolos entered into a time charter agreement with Jera for a period of up to December 31, 2034 (+/- 60 days). The charterer has the option to extend the charter for 3 years (+/- 60 days). The time charter of the LNG/C Apostolos commenced on June 28, 2024.</w:t>
      </w:r>
    </w:p>
    <w:p>
      <w:pPr>
        <w:spacing w:after="0" w:line="63" w:lineRule="exact"/>
        <w:rPr>
          <w:rFonts w:ascii="Times New Roman" w:cs="Times New Roman" w:eastAsia="Times New Roman" w:hAnsi="Times New Roman"/>
          <w:sz w:val="12"/>
          <w:szCs w:val="12"/>
          <w:color w:val="auto"/>
        </w:rPr>
      </w:pPr>
    </w:p>
    <w:p>
      <w:pPr>
        <w:ind w:left="240" w:hanging="240"/>
        <w:spacing w:after="0" w:line="231" w:lineRule="auto"/>
        <w:tabs>
          <w:tab w:leader="none" w:pos="2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December 2025, the company owning the LCO</w:t>
      </w:r>
      <w:r>
        <w:rPr>
          <w:rFonts w:ascii="Times New Roman" w:cs="Times New Roman" w:eastAsia="Times New Roman" w:hAnsi="Times New Roman"/>
          <w:sz w:val="19"/>
          <w:szCs w:val="19"/>
          <w:color w:val="auto"/>
          <w:vertAlign w:val="subscript"/>
        </w:rPr>
        <w:t>2</w:t>
      </w:r>
      <w:r>
        <w:rPr>
          <w:rFonts w:ascii="Times New Roman" w:cs="Times New Roman" w:eastAsia="Times New Roman" w:hAnsi="Times New Roman"/>
          <w:sz w:val="12"/>
          <w:szCs w:val="12"/>
          <w:color w:val="auto"/>
        </w:rPr>
        <w:t xml:space="preserve"> – HMG/C Active agreed with Geogas to enter into a 180 days (+/- 15 days) time charter, transporting LPG. The charterer has the option to extend the charter for an additional 180 days (+/- 15 days). The time charter of the LCO</w:t>
      </w:r>
      <w:r>
        <w:rPr>
          <w:rFonts w:ascii="Times New Roman" w:cs="Times New Roman" w:eastAsia="Times New Roman" w:hAnsi="Times New Roman"/>
          <w:sz w:val="19"/>
          <w:szCs w:val="19"/>
          <w:color w:val="auto"/>
          <w:vertAlign w:val="subscript"/>
        </w:rPr>
        <w:t>2</w:t>
      </w:r>
      <w:r>
        <w:rPr>
          <w:rFonts w:ascii="Times New Roman" w:cs="Times New Roman" w:eastAsia="Times New Roman" w:hAnsi="Times New Roman"/>
          <w:sz w:val="12"/>
          <w:szCs w:val="12"/>
          <w:color w:val="auto"/>
        </w:rPr>
        <w:t xml:space="preserve"> – HMG/C Active commenced on February 5, 2026.</w:t>
      </w:r>
    </w:p>
    <w:p>
      <w:pPr>
        <w:spacing w:after="0" w:line="138"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68</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0"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3"/>
          <w:szCs w:val="13"/>
          <w:b w:val="1"/>
          <w:bCs w:val="1"/>
          <w:color w:val="auto"/>
        </w:rPr>
        <w:t>Our Charters</w:t>
      </w:r>
    </w:p>
    <w:p>
      <w:pPr>
        <w:spacing w:after="0" w:line="162" w:lineRule="exact"/>
        <w:rPr>
          <w:sz w:val="20"/>
          <w:szCs w:val="20"/>
          <w:color w:val="auto"/>
        </w:rPr>
      </w:pPr>
    </w:p>
    <w:p>
      <w:pPr>
        <w:jc w:val="both"/>
        <w:ind w:firstLine="479"/>
        <w:spacing w:after="0" w:line="242" w:lineRule="auto"/>
        <w:rPr>
          <w:sz w:val="20"/>
          <w:szCs w:val="20"/>
          <w:color w:val="auto"/>
        </w:rPr>
      </w:pPr>
      <w:r>
        <w:rPr>
          <w:rFonts w:ascii="Times New Roman" w:cs="Times New Roman" w:eastAsia="Times New Roman" w:hAnsi="Times New Roman"/>
          <w:sz w:val="13"/>
          <w:szCs w:val="13"/>
          <w:color w:val="auto"/>
        </w:rPr>
        <w:t>Our on-the-water vessels are chartered with remaining revenue-weighted charter duration of approximately 6.5 years as of March 31, 2026. Under certain circumstances, we may operate our vessels in the spot market or certain of our vessels may remain idle until they are fixed under appropriate medium- to long-term charters. As our vessels come up for re-chartering, depending on the prevailing market rates, we may not be able to re-charter them at levels similar to their current charters, or at all, which may affect our business, financial condition, results of operations, cash flows, and ability to pay cash dividends and service or refinance our debt. Please read “—Our Fleet” above for more information on our time charters, including counterparties, expected expiration dates of the charters and daily charter rates.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Time Charters</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A time charter is a contract for the use of a vessel for a fixed period of time at a specified daily rate. Under a time charter, the vessel’s owner provides crewing and other services related to the vessel’s operation, the cost of which is included in the daily rates and the charterer is responsible for substantially all vessel voyage costs except for commissions which are assumed by the owner. The basic hire rate payable under the charters is a previously agreed daily rate, as specified in the charter, payable at the beginning of the month in U.S. Dollars.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Bareboat Charters</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A bareboat charter is a contract pursuant to which the vessel owner provides the vessel to the customer for a fixed period of time at a specified daily rate, and the customer provides for all of the vessel’s expenses (including any commissions) and generally assumes all risk of operation. The customer undertakes to maintain the vessel in a good state of repair and efficient operating condition and dry-dock the vessel during this period at its cost and as per the classification society requirements. Two of our vessels are currently under bareboat charters.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Spot Charters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 spot charter generally refers to a voyage charter or a trip charter or a short-term time charter.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Voyage / Trip Charter</w:t>
      </w:r>
    </w:p>
    <w:p>
      <w:pPr>
        <w:spacing w:after="0" w:line="172"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A voyage charter involves the carriage of a specific amount and type of cargo on a “load port-to-discharge port” basis, subject to various cargo handling terms. Under a typical voyage charter, the shipowner is paid on the basis of moving cargo from a loading port to a discharge port. In voyage charters the shipowner generally is responsible for paying both vessel operating costs and voyage expenses, and the charterer generally is responsible for any delay at the loading or discharging ports. Under a typical trip charter or short-term time charter, the shipowner is paid on the basis of moving cargo from a loading port to a discharge port at a set daily rate. The charterer is responsible for paying bunkers and other voyage expenses, while the shipowner is responsible for paying vessel operating expenses.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Seasonality</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We seek to operate our vessels under medium- to long-term charters and are not generally subject to the effect of seasonal variations in demand.</w:t>
      </w:r>
    </w:p>
    <w:p>
      <w:pPr>
        <w:spacing w:after="0" w:line="170"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69</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3"/>
          <w:szCs w:val="13"/>
          <w:b w:val="1"/>
          <w:bCs w:val="1"/>
          <w:color w:val="auto"/>
        </w:rPr>
        <w:t>Management of Ship Operations, Administration and Safety</w:t>
      </w:r>
    </w:p>
    <w:p>
      <w:pPr>
        <w:spacing w:after="0" w:line="172"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Our objective is to run our operations in a safe, efficient and cost-effective manner. To that end, our Managers provide expertise in various functions critical to our operations. Specifically, pursuant to the management and administrative services agreements we have entered into with them, our Managers grant us access to human resources, financial and other administrative services, including bookkeeping, audit and accounting services, administrative and clerical services, banking and financial services, client, investor relations, information technology and technical management services, including commercial management of the vessels, vessel maintenance and crewing (not required for vessels subject to bareboat charters), procurement, insurance and shipyard supervision.</w:t>
      </w:r>
    </w:p>
    <w:p>
      <w:pPr>
        <w:spacing w:after="0" w:line="131"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In compliance with the IMO’s ISM code, our Managers operate under safety management systems certified by Lloyd’s Register of Shipping (“LRS”). Capital-Containers management systems also comply with the Environmental Management Standard ISO 14001, the Occupational Health &amp; Safety Management System ISO 45001 and the Energy Management Standard 50001, all of which are certified by LRS. In addition, Capital-Containers has implemented an “Integrated Management System Approach” verified by the LRS.</w:t>
      </w:r>
    </w:p>
    <w:p>
      <w:pPr>
        <w:spacing w:after="0" w:line="127"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One of the key strategies of our Managers is the implementation of a regime of responsible, safe and clean shipping in an effort to operate our vessels in a manner intended to protect the safety and health of our Managers’ employees, the general public and the environment. Our Managers’ senior management teams aim to actively manage the risks inherent in our business and are committed to eliminating incidents that threaten safety, such as groundings, fires, collisions and spills, as well as reducing emissions and waste generation.</w:t>
      </w:r>
    </w:p>
    <w:p>
      <w:pPr>
        <w:spacing w:after="0" w:line="1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Capital-Gas Management currently outsources in part the crewing of four LNG/C vessels to third parties.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Crewing and Staff</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Capital-Containers and Capital-Gas Management, through a Capital Maritime subsidiary in Romania and crewing offices in Romania, Russia and the Philippines, recruit senior officers and crews for our vessels. Our vessels</w:t>
      </w:r>
    </w:p>
    <w:p>
      <w:pPr>
        <w:spacing w:after="0" w:line="1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are currently manned primarily by Greek, Ukrainian, Romanian and Russian officers and Filipino ratings. We believe that Capital-Containers and Capital Gas have significant experience in operating vessels in this configuration and have access to a pool of certified and experienced crew members whom they can recruit to man our vessels. In addition, Capital-Gas Management also recruits crew for our LNG/C vessels through third-party managers and manning offices.</w:t>
      </w:r>
    </w:p>
    <w:p>
      <w:pPr>
        <w:spacing w:after="0" w:line="127"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The LNG/C vessels are currently manned primarily by Romanian, Ukrainian, Russian and Greek officers and Filipino ratings. The continued hostilities between Russia and Ukraine might adversely impact our ability to safely repatriate Russian and Ukrainian officers and make the ability to perform regular crew changes problematic, as travel may not be available. This could impact the smooth operations of vessels as new officers and crews are sourced which may not have the familiarity of the vessel that they are joining. The extent to which this war will impact the Company’s future results of operations and financial condition will depend on future developments, which are highly uncertain and cannot be predicted. Accordingly, an estimate of the impact cannot be made at this time.</w:t>
      </w:r>
    </w:p>
    <w:p>
      <w:pPr>
        <w:spacing w:after="0" w:line="131"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70</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84"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3"/>
          <w:szCs w:val="13"/>
          <w:b w:val="1"/>
          <w:bCs w:val="1"/>
          <w:color w:val="auto"/>
        </w:rPr>
        <w:t>Classification, Inspection and Maintenance</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Every oceangoing vessel must be “classed” and certified by a classification society. The classification society is responsible for verifying that the vessel has been built and maintained in accordance with the rules and regulations of the classification society and ship’s country of registry, as well as the international conventions which that country has accepted and signed. In addition, where surveys are required by international conventions and corresponding laws and ordinances of a flag state, the classification society will undertake them on application or by official order, acting on behalf of the authorities concerned.</w:t>
      </w:r>
    </w:p>
    <w:p>
      <w:pPr>
        <w:spacing w:after="0" w:line="1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classification society also undertakes on request other surveys and inspections that are required by regulations and requirements of the flag state administration or port authority.</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These surveys are subject to agreements made in each individual case and/or to the regulations of the country concerned.</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For the maintenance of the class certificate, regular and occasional surveys of hull and machinery, including the electrical plant, and any special equipment classed are required to be performed 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follows:</w:t>
      </w:r>
    </w:p>
    <w:p>
      <w:pPr>
        <w:spacing w:after="0" w:line="157" w:lineRule="exact"/>
        <w:rPr>
          <w:sz w:val="20"/>
          <w:szCs w:val="20"/>
          <w:color w:val="auto"/>
        </w:rPr>
      </w:pPr>
    </w:p>
    <w:p>
      <w:pPr>
        <w:ind w:left="960" w:hanging="481"/>
        <w:spacing w:after="0" w:line="265" w:lineRule="auto"/>
        <w:tabs>
          <w:tab w:leader="none" w:pos="960" w:val="left"/>
        </w:tabs>
        <w:numPr>
          <w:ilvl w:val="0"/>
          <w:numId w:val="4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Annual surveys, which are conducted for the hull and the machinery at intervals of 12 months (or up to 15 months) from the date of commencement of the class period indicated on the certificate.</w:t>
      </w:r>
    </w:p>
    <w:p>
      <w:pPr>
        <w:spacing w:after="0" w:line="313" w:lineRule="exact"/>
        <w:rPr>
          <w:rFonts w:ascii="Arial" w:cs="Arial" w:eastAsia="Arial" w:hAnsi="Arial"/>
          <w:sz w:val="13"/>
          <w:szCs w:val="13"/>
          <w:b w:val="1"/>
          <w:bCs w:val="1"/>
          <w:color w:val="auto"/>
        </w:rPr>
      </w:pPr>
    </w:p>
    <w:p>
      <w:pPr>
        <w:jc w:val="both"/>
        <w:ind w:left="960" w:hanging="481"/>
        <w:spacing w:after="0" w:line="263" w:lineRule="auto"/>
        <w:tabs>
          <w:tab w:leader="none" w:pos="960" w:val="left"/>
        </w:tabs>
        <w:numPr>
          <w:ilvl w:val="0"/>
          <w:numId w:val="4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 bottom survey, which is an examination of the outside of the ship’s bottom and related items, and is normally carried out with the ship in dry-dock. However, the classification society may give consideration to alternate examination while the ship is afloat as an in-water survey. An in-water survey is not be permitted for ships 15 years of age and over that are assigned the notation ESP. A minimum of two bottom surveys are to be held in each five-year special survey period and the maximum interval between successive bottom surveys may not exceed three years. One of the two bottom surveys required in each five-year period is to coincide with the special survey. Non-ESP vessels (i.e., containers and LNG) are eligible to apply to the flag administration for the vessel to be placed on an Extended Dry-Docking (“EDD”) regime thus extending the bottom surveys to 7.5 years. The EDD scheme provides commercial flexibility and reduced operating expenses during the survey periods.</w:t>
      </w:r>
    </w:p>
    <w:p>
      <w:pPr>
        <w:spacing w:after="0" w:line="134" w:lineRule="exact"/>
        <w:rPr>
          <w:rFonts w:ascii="Arial" w:cs="Arial" w:eastAsia="Arial" w:hAnsi="Arial"/>
          <w:sz w:val="13"/>
          <w:szCs w:val="13"/>
          <w:b w:val="1"/>
          <w:bCs w:val="1"/>
          <w:color w:val="auto"/>
        </w:rPr>
      </w:pPr>
    </w:p>
    <w:p>
      <w:pPr>
        <w:jc w:val="both"/>
        <w:ind w:left="960" w:hanging="481"/>
        <w:spacing w:after="0" w:line="274" w:lineRule="auto"/>
        <w:tabs>
          <w:tab w:leader="none" w:pos="960" w:val="left"/>
        </w:tabs>
        <w:numPr>
          <w:ilvl w:val="0"/>
          <w:numId w:val="4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Intermediate surveys, which are extended annual surveys and are typically conducted each two and a half years (or up to three years) after completion of each class renewal survey. In the case of newbuilds or vessels of up to 15 years of age, the requirements of the intermediate survey can be met through an underwater inspection in lieu of dry-docking the vessel. Intermediate surveys may be carried out on the occasion of the second or third annual survey.</w:t>
      </w:r>
    </w:p>
    <w:p>
      <w:pPr>
        <w:spacing w:after="0" w:line="126" w:lineRule="exact"/>
        <w:rPr>
          <w:rFonts w:ascii="Arial" w:cs="Arial" w:eastAsia="Arial" w:hAnsi="Arial"/>
          <w:sz w:val="13"/>
          <w:szCs w:val="13"/>
          <w:b w:val="1"/>
          <w:bCs w:val="1"/>
          <w:color w:val="auto"/>
        </w:rPr>
      </w:pPr>
    </w:p>
    <w:p>
      <w:pPr>
        <w:jc w:val="both"/>
        <w:ind w:left="960" w:hanging="481"/>
        <w:spacing w:after="0" w:line="274" w:lineRule="auto"/>
        <w:tabs>
          <w:tab w:leader="none" w:pos="960" w:val="left"/>
        </w:tabs>
        <w:numPr>
          <w:ilvl w:val="0"/>
          <w:numId w:val="4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Vessels above 15 years of age, subject to enhanced survey requirements, are also dry-docked twice during each five-year cycle for inspection of the underwater parts and any deficiencies identified during the inspections need to be rectified either during the inspection or at a later stage if that is found to be appropriate based on its classification society. The classification surveyor in this case will issue a “recommendation” which must be rectified by the ship-owner within prescribed time limits.</w:t>
      </w:r>
    </w:p>
    <w:p>
      <w:pPr>
        <w:spacing w:after="0" w:line="126"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71</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72" w:name="page73"/>
    <w:bookmarkEnd w:id="72"/>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Class renewal surveys (also known as special surveys) are carried out at the intervals indicated by the classification for the hull, which are usually at five-year intervals. During the special survey, the vessel is thoroughly examined, including Non-Destructive Inspections to determine the thickness of the steel structures. Should the thickness be found to be less than class requirements, the classification society will order steel renewals. The classification society may grant a three-month extension for completion of the special survey under certain conditions. Substantial amounts of funds may have to be spent for steel renewals to pass a special survey if the vessel experiences excessive wear and tear. In lieu of the special survey every five years, a ship-owner or manager has the option, depending on the type of ship, of arranging with the classification society for the vessel’s hull or machinery to be on a continuous survey cycle, in which every part of the vessel would be surveyed within a five-year cycle. At an owner’s application, the surveys required for class renewal may be split according to an agreed schedule to extend over the entire period of class.</w:t>
      </w:r>
    </w:p>
    <w:p>
      <w:pPr>
        <w:spacing w:after="0" w:line="135"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These processes are referred to as Continuous Hull Survey (“CHS”) and Continuous Machinery Survey. However, the CHS notation is not valid for vessels that are subject to Enhanced Survey Program surveys, as required by the International Convention for the Safety of Life at Sea (“SOLAS”).</w:t>
      </w:r>
    </w:p>
    <w:p>
      <w:pPr>
        <w:spacing w:after="0" w:line="11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Occasional Surveys are carried out as a result of unexpected events (e.g., an accident or other circumstances requiring unscheduled attendance by the classification society for reconfirming that the vessel maintains its class) following such an unexpected event.</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All areas subject to survey, as defined by the classification society, are required to be surveyed at least once per class period, unless shorter intervals between surveys are prescribed elsewhere.</w:t>
      </w:r>
    </w:p>
    <w:p>
      <w:pPr>
        <w:spacing w:after="0" w:line="170"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Most insurance underwriters make it a condition for insurance coverage that a vessel be certified as “in class” by a classification society which is a member of the IACS. All of our vessels are certified as being “in class” by IACS members including ABS, BV, DNV, KR, and Lloyd’s Register. All new and second-hand vessels that we may purchase must be certified prior to their delivery under our standard agreements. If any vessel we contract to purchase is not certified as “in class” on the date of closing, under our standard purchase agreements, we will have no obligation to take delivery of such vessel.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 Management and Insurance</w:t>
      </w:r>
    </w:p>
    <w:p>
      <w:pPr>
        <w:spacing w:after="0" w:line="172" w:lineRule="exact"/>
        <w:rPr>
          <w:sz w:val="20"/>
          <w:szCs w:val="20"/>
          <w:color w:val="auto"/>
        </w:rPr>
      </w:pPr>
    </w:p>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The operation of any ocean-going vessel carries an inherent risk of catastrophic marine disasters, death or personal injury and property losses caused by adverse weather conditions, mechanical failures, human error, war, terrorism, piracy and other circumstances or events. The occurrence of any of these events may result in loss of revenues or increased costs or, in the case of marine disasters, catastrophic liabilities. Although we believe our current insurance program is usual and comprehensive in our industry, we cannot insure against all risks, and we cannot be certain that all covered risks are adequately insured against or that we will be able to achieve or maintain similar levels of coverage throughout a vessel’s useful life. Furthermore, there can be no guarantee that any specific claim will be paid by the insurer or that it will always be possible to obtain insurance coverage at reasonable rates. More stringent environmental regulations have resulted in increased costs for, and may result in the lack of availability of, insurance against the risks of environmental damage or pollution. Any uninsured or under-insured loss could harm our business and financial condition or could materially impair or end our ability to trade or operate.</w:t>
      </w:r>
    </w:p>
    <w:p>
      <w:pPr>
        <w:spacing w:after="0" w:line="135"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We believe our current insurance program is prudent. We currently carry the traditional range of marine and liability insurance coverage for each of our vessels to protect against most of the accident-related risks involved in the conduct of our business. Specifically we carry:</w:t>
      </w:r>
    </w:p>
    <w:p>
      <w:pPr>
        <w:spacing w:after="0" w:line="114" w:lineRule="exact"/>
        <w:rPr>
          <w:sz w:val="20"/>
          <w:szCs w:val="20"/>
          <w:color w:val="auto"/>
        </w:rPr>
      </w:pPr>
    </w:p>
    <w:p>
      <w:pPr>
        <w:ind w:left="960" w:hanging="481"/>
        <w:spacing w:after="0" w:line="292" w:lineRule="auto"/>
        <w:tabs>
          <w:tab w:leader="none" w:pos="960" w:val="left"/>
        </w:tabs>
        <w:numPr>
          <w:ilvl w:val="0"/>
          <w:numId w:val="4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Hull and machinery insurance, which covers loss of or damage to a vessel due to marine perils such as collisions, grounding and heavy weather. Coverage is usually to an agreed “insured value” which, as a matter of policy, is never less than the particular vessel’s fair market value. Cover is subject to policy deductibles which are always subject to change;</w:t>
      </w:r>
    </w:p>
    <w:p>
      <w:pPr>
        <w:spacing w:after="0" w:line="115"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72</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73" w:name="page74"/>
    <w:bookmarkEnd w:id="73"/>
    <w:p>
      <w:pPr>
        <w:ind w:left="960" w:hanging="481"/>
        <w:spacing w:after="0"/>
        <w:tabs>
          <w:tab w:leader="none" w:pos="960" w:val="left"/>
        </w:tabs>
        <w:numPr>
          <w:ilvl w:val="0"/>
          <w:numId w:val="4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Increased value insurance, which enhances hull and machinery insurance cover by increasing the insured value of the vessels in the event of a total loss casualty;</w:t>
      </w:r>
    </w:p>
    <w:p>
      <w:pPr>
        <w:spacing w:after="0" w:line="169" w:lineRule="exact"/>
        <w:rPr>
          <w:rFonts w:ascii="Arial" w:cs="Arial" w:eastAsia="Arial" w:hAnsi="Arial"/>
          <w:sz w:val="13"/>
          <w:szCs w:val="13"/>
          <w:b w:val="1"/>
          <w:bCs w:val="1"/>
          <w:color w:val="auto"/>
        </w:rPr>
      </w:pPr>
    </w:p>
    <w:p>
      <w:pPr>
        <w:jc w:val="both"/>
        <w:ind w:left="960" w:hanging="481"/>
        <w:spacing w:after="0" w:line="274" w:lineRule="auto"/>
        <w:tabs>
          <w:tab w:leader="none" w:pos="960" w:val="left"/>
        </w:tabs>
        <w:numPr>
          <w:ilvl w:val="0"/>
          <w:numId w:val="4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Protection and indemnity insurance, which is the principal coverage for third-party liabilities and indemnifies against such liabilities incurred while operating vessels, including injury to the crew, third parties, cargo or third-party property loss (including oil pollution) for which the shipowner is responsible. We carry the current maximum available amount of coverage for oil pollution risks, $1.0 billion per vessel per incident;</w:t>
      </w:r>
    </w:p>
    <w:p>
      <w:pPr>
        <w:spacing w:after="0" w:line="126" w:lineRule="exact"/>
        <w:rPr>
          <w:rFonts w:ascii="Arial" w:cs="Arial" w:eastAsia="Arial" w:hAnsi="Arial"/>
          <w:sz w:val="13"/>
          <w:szCs w:val="13"/>
          <w:b w:val="1"/>
          <w:bCs w:val="1"/>
          <w:color w:val="auto"/>
        </w:rPr>
      </w:pPr>
    </w:p>
    <w:p>
      <w:pPr>
        <w:ind w:left="960" w:hanging="481"/>
        <w:spacing w:after="0"/>
        <w:tabs>
          <w:tab w:leader="none" w:pos="960" w:val="left"/>
        </w:tabs>
        <w:numPr>
          <w:ilvl w:val="0"/>
          <w:numId w:val="4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War risks insurance, which covers such items as piracy and terrorism; and</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4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Freight, demurrage and defense cover, which is a form of legal costs insurance covering certain costs of prosecuting or defending commercial (usually uninsured operating) claims.</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Not all risks are insured and not all risks are insurable. The principal insurable risks, which remain uninsured across our fleet, are “loss of hire” and “strikes”.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following table sets forth certain information regarding our insurance coverage as of December 31, 2025: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 w:type="dxa"/>
            <w:vAlign w:val="bottom"/>
          </w:tcPr>
          <w:p>
            <w:pPr>
              <w:spacing w:after="0"/>
              <w:rPr>
                <w:sz w:val="15"/>
                <w:szCs w:val="15"/>
                <w:color w:val="auto"/>
              </w:rPr>
            </w:pP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Type</w:t>
            </w:r>
          </w:p>
        </w:tc>
        <w:tc>
          <w:tcPr>
            <w:tcW w:w="140" w:type="dxa"/>
            <w:vAlign w:val="bottom"/>
          </w:tcPr>
          <w:p>
            <w:pPr>
              <w:spacing w:after="0"/>
              <w:rPr>
                <w:sz w:val="15"/>
                <w:szCs w:val="15"/>
                <w:color w:val="auto"/>
              </w:rPr>
            </w:pP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Aggregate Sum Insured for All Vessels in Our Existing Fleet</w:t>
            </w:r>
          </w:p>
        </w:tc>
        <w:tc>
          <w:tcPr>
            <w:tcW w:w="60" w:type="dxa"/>
            <w:vAlign w:val="bottom"/>
          </w:tcPr>
          <w:p>
            <w:pPr>
              <w:spacing w:after="0"/>
              <w:rPr>
                <w:sz w:val="15"/>
                <w:szCs w:val="15"/>
                <w:color w:val="auto"/>
              </w:rPr>
            </w:pPr>
          </w:p>
        </w:tc>
      </w:tr>
      <w:tr>
        <w:trPr>
          <w:trHeight w:val="150"/>
        </w:trPr>
        <w:tc>
          <w:tcPr>
            <w:tcW w:w="60" w:type="dxa"/>
            <w:vAlign w:val="bottom"/>
            <w:shd w:val="clear" w:color="auto" w:fill="CCEEFF"/>
          </w:tcPr>
          <w:p>
            <w:pPr>
              <w:spacing w:after="0"/>
              <w:rPr>
                <w:sz w:val="13"/>
                <w:szCs w:val="13"/>
                <w:color w:val="auto"/>
              </w:rPr>
            </w:pPr>
          </w:p>
        </w:tc>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Hull and Machinery</w:t>
            </w:r>
          </w:p>
        </w:tc>
        <w:tc>
          <w:tcPr>
            <w:tcW w:w="140" w:type="dxa"/>
            <w:vAlign w:val="bottom"/>
            <w:shd w:val="clear" w:color="auto" w:fill="CCEEFF"/>
          </w:tcPr>
          <w:p>
            <w:pPr>
              <w:spacing w:after="0"/>
              <w:rPr>
                <w:sz w:val="13"/>
                <w:szCs w:val="13"/>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$3.4 billion</w:t>
            </w:r>
          </w:p>
        </w:tc>
      </w:tr>
      <w:tr>
        <w:trPr>
          <w:trHeight w:val="160"/>
        </w:trPr>
        <w:tc>
          <w:tcPr>
            <w:tcW w:w="60" w:type="dxa"/>
            <w:vAlign w:val="bottom"/>
          </w:tcPr>
          <w:p>
            <w:pPr>
              <w:spacing w:after="0"/>
              <w:rPr>
                <w:sz w:val="13"/>
                <w:szCs w:val="13"/>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Increased Value (including Excess Liabilities)</w:t>
            </w:r>
          </w:p>
        </w:tc>
        <w:tc>
          <w:tcPr>
            <w:tcW w:w="140" w:type="dxa"/>
            <w:vAlign w:val="bottom"/>
          </w:tcPr>
          <w:p>
            <w:pPr>
              <w:spacing w:after="0"/>
              <w:rPr>
                <w:sz w:val="13"/>
                <w:szCs w:val="13"/>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$731.7 million additional “total loss” coverage</w:t>
            </w:r>
          </w:p>
        </w:tc>
      </w:tr>
      <w:tr>
        <w:trPr>
          <w:trHeight w:val="160"/>
        </w:trPr>
        <w:tc>
          <w:tcPr>
            <w:tcW w:w="60" w:type="dxa"/>
            <w:vAlign w:val="bottom"/>
            <w:shd w:val="clear" w:color="auto" w:fill="CCEEFF"/>
          </w:tcPr>
          <w:p>
            <w:pPr>
              <w:spacing w:after="0"/>
              <w:rPr>
                <w:sz w:val="13"/>
                <w:szCs w:val="13"/>
                <w:color w:val="auto"/>
              </w:rPr>
            </w:pPr>
          </w:p>
        </w:tc>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Hull &amp; Machinery (War Risks)</w:t>
            </w:r>
          </w:p>
        </w:tc>
        <w:tc>
          <w:tcPr>
            <w:tcW w:w="140" w:type="dxa"/>
            <w:vAlign w:val="bottom"/>
            <w:shd w:val="clear" w:color="auto" w:fill="CCEEFF"/>
          </w:tcPr>
          <w:p>
            <w:pPr>
              <w:spacing w:after="0"/>
              <w:rPr>
                <w:sz w:val="13"/>
                <w:szCs w:val="13"/>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$4.1 billion</w:t>
            </w:r>
          </w:p>
        </w:tc>
      </w:tr>
      <w:tr>
        <w:trPr>
          <w:trHeight w:val="173"/>
        </w:trPr>
        <w:tc>
          <w:tcPr>
            <w:tcW w:w="6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Protection and Indemnity (P&amp;I) Pollution Liability Claims</w:t>
            </w:r>
          </w:p>
        </w:tc>
        <w:tc>
          <w:tcPr>
            <w:tcW w:w="140" w:type="dxa"/>
            <w:vAlign w:val="bottom"/>
          </w:tcPr>
          <w:p>
            <w:pPr>
              <w:spacing w:after="0"/>
              <w:rPr>
                <w:sz w:val="15"/>
                <w:szCs w:val="15"/>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Up to $1.0 billion per incident per vessel</w:t>
            </w:r>
          </w:p>
        </w:tc>
      </w:tr>
      <w:tr>
        <w:trPr>
          <w:trHeight w:val="307"/>
        </w:trPr>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Competition</w:t>
            </w:r>
          </w:p>
        </w:tc>
        <w:tc>
          <w:tcPr>
            <w:tcW w:w="14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We operate in a highly fragmented, highly diversified global market with many charterers, owners and operators of vessels.</w:t>
      </w:r>
    </w:p>
    <w:p>
      <w:pPr>
        <w:spacing w:after="0" w:line="170"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Competition for charters can be intense. The ability to obtain favorable charters depends, in addition to price, on a variety of other factors, including the location, size, age, condition and acceptability of the vessel and its operator to the charterer. Although we believe that at the present time no single company has a dominant position in the markets in which we operate, that could change and we may face substantial competition for medium-to long-term charters from a number of experienced companies who may have greater resources or experience than we do when we try to charter our vessels. However, we believe our ability to comply better with the rigorous standards of major charterers relative to less qualified or experienced operators allows us to effectively compete for new charters.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Regulation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General</w:t>
      </w:r>
    </w:p>
    <w:p>
      <w:pPr>
        <w:spacing w:after="0" w:line="174"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Our operations and our status as an operator and manager of ships are extensively regulated by international conventions, National Maritime Regulations of Country of Registry, Classification Rules and Regulations, IACS Quality Standards, U.S. federal, state and local as well as non-U.S. health, safety and environmental protection laws and regulations, including, the Comprehensive Environmental Response, Compensation, and Liability Act (“CERCLA”), the U.S. Ports and Waterways Safety Act of 1972, the Act to Prevent Pollution from Ships, the U.S. Clean Air Act (“Clean Air Act”), the U.S. Water Pollution Control Act (“Clean Water Act”) as amended by the Oil Pollution Act of 1990, Japanese Marine traffic safety laws, Australian Marine Orders regarding stevedores safety, as well as regulations adopted by the IMO and the EU, State air emission requirements, IMO/United States Coast Guard (“USCG”)/Environmental Protection Agency (“EPA”) pollution regulations and various SOLAS amendments, International Labour Organization (“ILO”) regulations, International Telecommunications Union (“ITU”) regulations, as well as insurance requirements and other regulations described below. In addition, various jurisdictions either have or are adopting ballast water management conventions to prevent the introduction of non-indigenous invasive species, and designating local air emission control areas. Compliance with these laws, regulations and other requirements could entail additional expenses, including vessel modifications and implementation of additional operating procedures.</w:t>
      </w:r>
    </w:p>
    <w:p>
      <w:pPr>
        <w:spacing w:after="0" w:line="137" w:lineRule="exact"/>
        <w:rPr>
          <w:sz w:val="20"/>
          <w:szCs w:val="20"/>
          <w:color w:val="auto"/>
        </w:rPr>
      </w:pPr>
    </w:p>
    <w:p>
      <w:pPr>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73</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74" w:name="page75"/>
    <w:bookmarkEnd w:id="74"/>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We are also required by various governmental and quasi-governmental agencies and international organizations to obtain permits, licenses and certificates for our vessels, depending upon such factors as the country of registry, the cargo transported, the trading area, the nationality of the vessel’s crew, the age and size of the vessel and our status as owner or charterer. Failure to maintain necessary permits, licenses or certificates could require us to incur substantial costs or temporarily suspend the operation of one or more of our vessels or even result in detention or seizure.</w:t>
      </w:r>
    </w:p>
    <w:p>
      <w:pPr>
        <w:spacing w:after="0" w:line="127"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We believe that the heightened environmental and quality concerns of insurance underwriters, regulators and charterers will impose greater inspection, training and safety requirements on all types of vessels in the shipping industry. In addition to inspections by us, our vessels are subject to both scheduled and unscheduled inspections by a variety of governmental and private entities, each of which may have unique requirements. These entities include the local port authorities (such as USCG, harbor master or equivalent), classification societies, flag state administration, P&amp;I Clubs, Port State Control (“PSC”) officers, ILO inspectors, charterers, and particularly terminal operators which conduct frequent vessel inspections.</w:t>
      </w:r>
    </w:p>
    <w:p>
      <w:pPr>
        <w:spacing w:after="0" w:line="131"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It is our policy to operate our vessels in full compliance with applicable environmental laws and regulations. However, regulatory programs are complex, frequently change and may impose increasingly strict requirements, we cannot predict the ultimate cost of complying with these and any future requirements, or their impact on the resale value or useful life of our vessels.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United States Requirements</w:t>
      </w:r>
    </w:p>
    <w:p>
      <w:pPr>
        <w:spacing w:after="0" w:line="17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The United States regulates the shipping industry with extensive environmental protection requirements and a liability regime addressing violations and the cleanup of oil spills, primarily through the Oil Pollution Act of 1990 (“OPA 90”), CERCLA and certain coastal state laws.</w:t>
      </w:r>
    </w:p>
    <w:p>
      <w:pPr>
        <w:spacing w:after="0" w:line="114"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Under OPA 90, vessel operators, including vessel owners, managers and bareboat or “demise” charterers, are “responsible parties” who share strict joint and several liability for all containment and clean-up costs and other damages arising from oil spills from their vessels. These “responsible parties” would not be liable if the spill results solely from the act or omission of a third party, an act of God or an act of war. OPA 90 liability for non-tank vessels, edible oil tank vessels, and any oil spill response vessels, is the greater of $1,200 per gross ton or $997,000 (subject to periodic adjustment for inflation). However, these limits of liability do not apply if an incident was proximately caused by the violation of an applicable United States federal safety, construction or operating regulation by a responsible party (or its agent, employee or a person acting pursuant to a contractual relationship), or a responsible party’s gross negligence or willful misconduct. The limitation on liability similarly does not apply if the responsible party fails or refuses to (i) report the incident as required by law where the responsible party knows or has reason to know of the incident; (ii) reasonably cooperate and assist as requested in connection with oil removal activities; or (iii) without sufficient cause, comply with an order issued under the Federal Water Pollution Act (Section 311 (c), (e)) or the Intervention on the High Seas Act. OPA 90 specifically permits individual states to impose their own additional liability regimes with regard to oil pollution incidents occurring within their boundaries, and some states, notably California, Florida, Maine, and Washington, have enacted legislation providing for increased liability for discharge of pollutants within their waters.</w:t>
      </w:r>
    </w:p>
    <w:p>
      <w:pPr>
        <w:spacing w:after="0" w:line="134" w:lineRule="exact"/>
        <w:rPr>
          <w:sz w:val="20"/>
          <w:szCs w:val="20"/>
          <w:color w:val="auto"/>
        </w:rPr>
      </w:pPr>
    </w:p>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CERCLA applies to the discharge of hazardous substances (other than oil) whether on land or at sea in U.S. jurisdictional waters, and contains a liability regime that provides for recovery of cleanup costs and damages to natural resources. Liability under CERCLA is limited to the greater of $300 per gross ton or $5.0 million for vessels carrying any hazardous substances as cargo, or the greater of $300 per gross ton or $0.5 million for any other vessel, per release of or incident involving hazardous substances. As with OPA 90, these limits of liability do not apply if the incident is caused by gross negligence, willful misconduct, violation of certain regulations or if the responsible party fails or refuses to report the incident or fails to provide all reasonable cooperation and assistance requested in response activities, in which case, liability is unlimited. While OPA 90 and CERCLA would not apply to the discharge of LNG, these laws may affect us because we carry oil as fuel, lubricants for our engines and other maintenance chemicals, and the discharge of these could cause an environmental hazard. We believe that we are in material compliance with OPA 90, CERCLA and all applicable state and local regulations in U.S. ports where our vessels call.</w:t>
      </w:r>
    </w:p>
    <w:p>
      <w:pPr>
        <w:spacing w:after="0" w:line="295"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74</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75" w:name="page76"/>
    <w:bookmarkEnd w:id="75"/>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The Clean Water Act requires owners and operators of vessels to adopt contingency plans for reporting and responding to oil spill scenarios up to a “worst case” scenario and to identify and ensure, through contracts or other approved means, the availability of necessary private response resources to respond to a “worst case discharge.” In addition, periodic training programs, drills for shore and response personnel, and for vessels and their crews, are required. Our vessel response plans have been approved by the USCG. The Clean Water Act prohibits the discharge of oil or hazardous substances in U.S. navigable waters and imposes strict liability in the form of penalties for unauthorized discharges. The Clean Water Act also imposes significant penalties for damage caused by water pollution.</w:t>
      </w:r>
    </w:p>
    <w:p>
      <w:pPr>
        <w:spacing w:after="0" w:line="131"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U.S. EPA regulations govern the discharge into U.S. waters of ballast water and other substances incidental to the normal operation of vessels. Under EPA regulations, our vessels are required to obtain coverage under the EPA 2013 Vessel General Permit (“VGP”) by submitting a Notice of Intent. The VGP incorporates current USCG requirements for ballast water management as well as supplemental ballast water requirements, and includes technology-based and water-quality based limits for other discharges, such as deck runoff, bilge water and gray water. USCG regulations will phase in stricter VGP ballast management requirements in the future and U.S. EPA published new vessel discharge standards in October 2024, which could ultimately replace the VGP program by 2026.</w:t>
      </w:r>
    </w:p>
    <w:p>
      <w:pPr>
        <w:spacing w:after="0" w:line="131"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Administrative obligations, such as monitoring, recordkeeping and reporting requirements also apply. Implementation of the water treatment standards adopted by the USCG/EPA is required earlier than the implementation of equivalent standards agreed by the IMO. For trading in U.S. waters, vessels are to be fitted with ballast water treatment systems approved by the USCG at the first bottom survey after January 1, 2016. A number of BWTS technologies have Alternate Management System (“AMS”) extension approvals and a number of other systems have recently received a USCG type BWTS approval. As of the date of this Annual Report, all of our vessels are equipped with BWTS.</w:t>
      </w:r>
    </w:p>
    <w:p>
      <w:pPr>
        <w:spacing w:after="0" w:line="131"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The Clean Air Act requires the EPA to promulgate standards applicable to emissions of volatile organic compounds, hazardous air pollutants, greenhouse gases and other air contaminants. The Clean Air Act also requires states to draft State Implementation Plans (“SIPs”) designed to attain national health-based air quality standards, which have significant regulatory impacts in controlling air emissions from all sources. Several SIPs regulate emissions resulting from vessel loading and unloading operations by requiring the installation of vapor control equipment. Individual states, including California, also regulate vessel emissions within state waters. California also has adopted fuel content regulations that will apply to all vessels sailing within 24 miles of the California coastline or whose itineraries call for them to enter any California ports, terminal facilities, or internal or estuarine waters. In addition, the IMO designates areas extending 200 miles from the U.S. territorial sea baseline adjacent to the Atlantic/Gulf and Pacific coasts and the eight main Hawaiian Islands as Sulphur Emission Control Areas and NOx Emission Control Areas under amendments to the Annex VI of MARPOL (discussed below). In addition, regulatory initiatives to require cold-ironing (shore-based power while docked) have been adopted in California and cold-ironing or alternative emission reduction measures are under consideration, have been adopted, or are in the process of adoption in a number of other jurisdictions to reduce air emissions from docked ships. Compliance with these regulations entails significant capital expenditures or otherwise increases the costs of our operations.</w:t>
      </w:r>
    </w:p>
    <w:p>
      <w:pPr>
        <w:spacing w:after="0" w:line="294" w:lineRule="exact"/>
        <w:rPr>
          <w:sz w:val="20"/>
          <w:szCs w:val="20"/>
          <w:color w:val="auto"/>
        </w:rPr>
      </w:pPr>
    </w:p>
    <w:p>
      <w:pPr>
        <w:ind w:left="740" w:hanging="261"/>
        <w:spacing w:after="0"/>
        <w:tabs>
          <w:tab w:leader="none" w:pos="740" w:val="left"/>
        </w:tabs>
        <w:numPr>
          <w:ilvl w:val="0"/>
          <w:numId w:val="48"/>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California Air Resources Board Regulations</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The California Air Resources Board (“CARB”) enforces strict air quality regulations for ships operating within 24 nautical miles of the California coastline. Key requirements include a 0.10% sulphur fuel limit, at-berth emission reductions (e.g., shore power), and fuel usage reporting. CARB is also exploring stricter nitrous oxides (“NOx”) and greenhouse gas (“GHG”) regulations, which could further impact ship operations in California waters.</w:t>
      </w:r>
    </w:p>
    <w:p>
      <w:pPr>
        <w:spacing w:after="0" w:line="127"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75</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76" w:name="page77"/>
    <w:bookmarkEnd w:id="76"/>
    <w:p>
      <w:pPr>
        <w:ind w:left="480"/>
        <w:spacing w:after="0"/>
        <w:tabs>
          <w:tab w:leader="none" w:pos="760" w:val="left"/>
        </w:tabs>
        <w:rPr>
          <w:sz w:val="20"/>
          <w:szCs w:val="20"/>
          <w:color w:val="auto"/>
        </w:rPr>
      </w:pPr>
      <w:r>
        <w:rPr>
          <w:rFonts w:ascii="Times New Roman" w:cs="Times New Roman" w:eastAsia="Times New Roman" w:hAnsi="Times New Roman"/>
          <w:sz w:val="13"/>
          <w:szCs w:val="13"/>
          <w:i w:val="1"/>
          <w:iCs w:val="1"/>
          <w:color w:val="auto"/>
        </w:rPr>
        <w:t>ii</w:t>
      </w:r>
      <w:r>
        <w:rPr>
          <w:sz w:val="20"/>
          <w:szCs w:val="20"/>
          <w:color w:val="auto"/>
        </w:rPr>
        <w:tab/>
      </w:r>
      <w:r>
        <w:rPr>
          <w:rFonts w:ascii="Times New Roman" w:cs="Times New Roman" w:eastAsia="Times New Roman" w:hAnsi="Times New Roman"/>
          <w:sz w:val="13"/>
          <w:szCs w:val="13"/>
          <w:i w:val="1"/>
          <w:iCs w:val="1"/>
          <w:color w:val="auto"/>
        </w:rPr>
        <w:t>Inflation Reduction Act</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The Inflation Reduction Act (“IRA”), enacted in August 2022, includes provisions that could impact the shipping industry, such as tax credits for alternative fuels (e.g., biofuels, hydrogen, etc.) and incentives for carbon capture and storage.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China Requirements</w:t>
      </w:r>
    </w:p>
    <w:p>
      <w:pPr>
        <w:spacing w:after="0" w:line="174" w:lineRule="exact"/>
        <w:rPr>
          <w:sz w:val="20"/>
          <w:szCs w:val="20"/>
          <w:color w:val="auto"/>
        </w:rPr>
      </w:pPr>
    </w:p>
    <w:p>
      <w:pPr>
        <w:jc w:val="both"/>
        <w:ind w:firstLine="479"/>
        <w:spacing w:after="0" w:line="267" w:lineRule="auto"/>
        <w:rPr>
          <w:sz w:val="20"/>
          <w:szCs w:val="20"/>
          <w:color w:val="auto"/>
        </w:rPr>
      </w:pPr>
      <w:r>
        <w:rPr>
          <w:rFonts w:ascii="Times New Roman" w:cs="Times New Roman" w:eastAsia="Times New Roman" w:hAnsi="Times New Roman"/>
          <w:sz w:val="13"/>
          <w:szCs w:val="13"/>
          <w:color w:val="auto"/>
        </w:rPr>
        <w:t>China established coastal emission control areas (“ECA”) that capped the sulphur content of marine fuels. The three ECAs are the Pearl River Delta, the Yangtze River Delta and Bohai Bay. These coastal ECAs are designated under Chinese domestic law and are not MARPOL Annex VI designated ECAs and exclude the waters under the jurisdiction of Hong Kong, Macao and Taiwan. Since 1 January 2019, vessels operating within such a coastal ECA have been required to use fuel with a maximum sulphur content of 0.50%. The China Maritime Safety Administration issued an “Implementation Scheme of 2020 Global Marine Fuel Oil Sulphur Cap” according to which, among other requirements, from 1 January 2022 a sulphur cap of 0.10% applies to seagoing vessels entering Hainan Waters within the coastal ECA.</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Korea Requirements</w:t>
      </w:r>
    </w:p>
    <w:p>
      <w:pPr>
        <w:spacing w:after="0" w:line="17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From 1 September 2020, the South Korea government implemented mandatory Sulphur Emission Control Areas (SECAs) requiring the use of 0.1% sulphur fuel by ships in specified port areas. The following seaport areas became Korean SECAs, Incheon (including Gyeongin port), Pyeongtaek Dangjin Yeosu Gwangyang (including Hadong port) Busan Ulsan.</w:t>
      </w:r>
    </w:p>
    <w:p>
      <w:pPr>
        <w:spacing w:after="0" w:line="11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Effective from 1 September 2020, all ships (including foreign-flagged vessels) berthed or at anchorage in the above SECAs must ensure that, one hour after mooring (or anchoring) and one hour before de-berthing (or heaving anchor), sulphur content of fuel oils used on board does not exceed 0.1% m/m (or an approved equivalent arrangement is used).</w:t>
      </w:r>
    </w:p>
    <w:p>
      <w:pPr>
        <w:spacing w:after="0" w:line="11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Effective from 1 January 2022, all ships (including foreign-flagged vessels) entering or leaving the SECAs must comply with the same 0.1% m/m sulphur fuel limit using the appropriate fuel oils (or approved equivalent arrangement).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EU requirements</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In September 2020, the EU agreed to cut GHG emissions by at least 55% by 2030 and to become climate neutral by 2050.</w:t>
      </w:r>
    </w:p>
    <w:p>
      <w:pPr>
        <w:spacing w:after="0" w:line="170" w:lineRule="exact"/>
        <w:rPr>
          <w:sz w:val="20"/>
          <w:szCs w:val="20"/>
          <w:color w:val="auto"/>
        </w:rPr>
      </w:pPr>
    </w:p>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The EU has developed a legislative package, called “Fit for 55” aimed to pave the way to the 2030 GHG emissions target. It is considered one of the most ambitious regulatory frameworks to reverse climate change and build a sustainable economy and it is in line with the Paris Agreement objective to keep the global temperature increase to well below 2° C and pursues efforts to keep it below 1.5° C. The legislative package consists of both new technical and market based regulations along with the revision of existing ones. The “Fit for 55” package was tabled in July 2021 to respond to the requirements in the EU Climate Law to reduce Europe’s net GHG emissions and updated when the European Commission proposed more ambitious targets on renewable energy and energy efficiency in the “REPowerEU” plan to respond to Russia’s invasion of Ukraine and boost Europe’s energy security. The final legislative package is expected to reduce EU net GHG emissions by 57% by 2030. While this legislative package is a central part of the European “Green Deal”, work continues on other pending legislative files and proposals, and on the implementation of legislation in the Member States.</w:t>
      </w:r>
    </w:p>
    <w:p>
      <w:pPr>
        <w:spacing w:after="0" w:line="135"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76</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77" w:name="page78"/>
    <w:bookmarkEnd w:id="77"/>
    <w:p>
      <w:pPr>
        <w:ind w:firstLine="479"/>
        <w:spacing w:after="0" w:line="293" w:lineRule="auto"/>
        <w:rPr>
          <w:sz w:val="20"/>
          <w:szCs w:val="20"/>
          <w:color w:val="auto"/>
        </w:rPr>
      </w:pPr>
      <w:r>
        <w:rPr>
          <w:rFonts w:ascii="Times New Roman" w:cs="Times New Roman" w:eastAsia="Times New Roman" w:hAnsi="Times New Roman"/>
          <w:sz w:val="13"/>
          <w:szCs w:val="13"/>
          <w:color w:val="auto"/>
        </w:rPr>
        <w:t>The EU began accounting for seaborne emissions generated in European territorial waters in 2018 with the EU MRV Regulation. In the context of the “Fit for 55” legislative package, the proposals affecting the maritime industry are:</w:t>
      </w:r>
    </w:p>
    <w:p>
      <w:pPr>
        <w:spacing w:after="0" w:line="112" w:lineRule="exact"/>
        <w:rPr>
          <w:sz w:val="20"/>
          <w:szCs w:val="20"/>
          <w:color w:val="auto"/>
        </w:rPr>
      </w:pPr>
    </w:p>
    <w:p>
      <w:pPr>
        <w:jc w:val="both"/>
        <w:ind w:left="480" w:hanging="480"/>
        <w:spacing w:after="0" w:line="226" w:lineRule="auto"/>
        <w:tabs>
          <w:tab w:leader="none" w:pos="480" w:val="left"/>
        </w:tabs>
        <w:numPr>
          <w:ilvl w:val="0"/>
          <w:numId w:val="49"/>
        </w:numPr>
        <w:rPr>
          <w:rFonts w:ascii="Arial" w:cs="Arial" w:eastAsia="Arial" w:hAnsi="Arial"/>
          <w:sz w:val="13"/>
          <w:szCs w:val="13"/>
          <w:b w:val="1"/>
          <w:bCs w:val="1"/>
          <w:color w:val="auto"/>
        </w:rPr>
      </w:pPr>
      <w:r>
        <w:rPr>
          <w:rFonts w:ascii="Times New Roman" w:cs="Times New Roman" w:eastAsia="Times New Roman" w:hAnsi="Times New Roman"/>
          <w:sz w:val="13"/>
          <w:szCs w:val="13"/>
          <w:b w:val="1"/>
          <w:bCs w:val="1"/>
          <w:color w:val="auto"/>
        </w:rPr>
        <w:t>ETS Directive</w:t>
      </w:r>
      <w:r>
        <w:rPr>
          <w:rFonts w:ascii="Times New Roman" w:cs="Times New Roman" w:eastAsia="Times New Roman" w:hAnsi="Times New Roman"/>
          <w:sz w:val="13"/>
          <w:szCs w:val="13"/>
          <w:color w:val="auto"/>
        </w:rPr>
        <w:t>: The EU has determined that maritime shipping will be included in the ETS as from 2024 in the absence of a comparable system operating under the IMO, with the ships presently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reporting emissions under the EU MRV Regulation required to purchase 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emission credits. The revision of the ETS entered into force on June 5, 2023. From January 1, 2024, the maritime industry has been gradually integrated into the ETS. Shipping companies operating in European territorial waters are required to submit at the end of each reporting period the equivalent amount of European Emissions Allowances (“EUAs”) based on their verified monitored emissions of the previous year. The emissions covered under the ETS are:</w:t>
      </w:r>
    </w:p>
    <w:p>
      <w:pPr>
        <w:spacing w:after="0" w:line="149" w:lineRule="exact"/>
        <w:rPr>
          <w:rFonts w:ascii="Arial" w:cs="Arial" w:eastAsia="Arial" w:hAnsi="Arial"/>
          <w:sz w:val="13"/>
          <w:szCs w:val="13"/>
          <w:b w:val="1"/>
          <w:bCs w:val="1"/>
          <w:color w:val="auto"/>
        </w:rPr>
      </w:pPr>
    </w:p>
    <w:p>
      <w:pPr>
        <w:ind w:left="960" w:hanging="481"/>
        <w:spacing w:after="0"/>
        <w:tabs>
          <w:tab w:leader="none" w:pos="960" w:val="left"/>
        </w:tabs>
        <w:numPr>
          <w:ilvl w:val="1"/>
          <w:numId w:val="4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100% of the emissions of intra EU voyages;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1"/>
          <w:numId w:val="4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50% of the emissions of voyages departing from or arriving to a port of a member State and a port of a third country;</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1"/>
          <w:numId w:val="4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100% of the emissions generated at berth in EU port.</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Implementation for the maritime industry began on January 1, 2024 for cargo and passenger ships of 5000 gross tonnage and above.</w:t>
      </w:r>
    </w:p>
    <w:p>
      <w:pPr>
        <w:spacing w:after="0" w:line="170" w:lineRule="exact"/>
        <w:rPr>
          <w:sz w:val="20"/>
          <w:szCs w:val="20"/>
          <w:color w:val="auto"/>
        </w:rPr>
      </w:pPr>
    </w:p>
    <w:p>
      <w:pPr>
        <w:ind w:left="480"/>
        <w:spacing w:after="0" w:line="293" w:lineRule="auto"/>
        <w:rPr>
          <w:sz w:val="20"/>
          <w:szCs w:val="20"/>
          <w:color w:val="auto"/>
        </w:rPr>
      </w:pPr>
      <w:r>
        <w:rPr>
          <w:rFonts w:ascii="Times New Roman" w:cs="Times New Roman" w:eastAsia="Times New Roman" w:hAnsi="Times New Roman"/>
          <w:sz w:val="13"/>
          <w:szCs w:val="13"/>
          <w:color w:val="auto"/>
        </w:rPr>
        <w:t>Starting in 2025, shipping companies are required to surrender by September 30 of each year, EUAs corresponding to their verified GHG emissions of the previous monitoring year. There will be a gradual phase-in of the required allowances to be submitted.</w:t>
      </w:r>
    </w:p>
    <w:p>
      <w:pPr>
        <w:spacing w:after="0" w:line="18" w:lineRule="exact"/>
        <w:rPr>
          <w:sz w:val="20"/>
          <w:szCs w:val="20"/>
          <w:color w:val="auto"/>
        </w:rPr>
      </w:pPr>
    </w:p>
    <w:p>
      <w:pPr>
        <w:ind w:left="960" w:hanging="481"/>
        <w:spacing w:after="0"/>
        <w:tabs>
          <w:tab w:leader="none" w:pos="960" w:val="left"/>
        </w:tabs>
        <w:numPr>
          <w:ilvl w:val="0"/>
          <w:numId w:val="5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By September 30, 2025, surrender of EUAs corresponding to 40% of 2024 verified 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emissions.</w:t>
      </w:r>
    </w:p>
    <w:p>
      <w:pPr>
        <w:spacing w:after="0" w:line="76" w:lineRule="exact"/>
        <w:rPr>
          <w:rFonts w:ascii="Arial" w:cs="Arial" w:eastAsia="Arial" w:hAnsi="Arial"/>
          <w:sz w:val="13"/>
          <w:szCs w:val="13"/>
          <w:b w:val="1"/>
          <w:bCs w:val="1"/>
          <w:color w:val="auto"/>
        </w:rPr>
      </w:pPr>
    </w:p>
    <w:p>
      <w:pPr>
        <w:ind w:left="960" w:hanging="481"/>
        <w:spacing w:after="0"/>
        <w:tabs>
          <w:tab w:leader="none" w:pos="960" w:val="left"/>
        </w:tabs>
        <w:numPr>
          <w:ilvl w:val="0"/>
          <w:numId w:val="5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By September 30, 2026, surrender of EUAs corresponding to 70% of 2025 verified 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emissions.</w:t>
      </w:r>
    </w:p>
    <w:p>
      <w:pPr>
        <w:spacing w:after="0" w:line="76" w:lineRule="exact"/>
        <w:rPr>
          <w:rFonts w:ascii="Arial" w:cs="Arial" w:eastAsia="Arial" w:hAnsi="Arial"/>
          <w:sz w:val="13"/>
          <w:szCs w:val="13"/>
          <w:b w:val="1"/>
          <w:bCs w:val="1"/>
          <w:color w:val="auto"/>
        </w:rPr>
      </w:pPr>
    </w:p>
    <w:p>
      <w:pPr>
        <w:ind w:left="960" w:hanging="481"/>
        <w:spacing w:after="0"/>
        <w:tabs>
          <w:tab w:leader="none" w:pos="960" w:val="left"/>
        </w:tabs>
        <w:numPr>
          <w:ilvl w:val="0"/>
          <w:numId w:val="5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By September 30, 2027, surrender of EUAs corresponding to 100% of 2026 verified 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CH4 and N2O emissions in the form of 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equivalent.</w:t>
      </w:r>
    </w:p>
    <w:p>
      <w:pPr>
        <w:spacing w:after="0" w:line="173" w:lineRule="exact"/>
        <w:rPr>
          <w:sz w:val="20"/>
          <w:szCs w:val="20"/>
          <w:color w:val="auto"/>
        </w:rPr>
      </w:pPr>
    </w:p>
    <w:p>
      <w:pPr>
        <w:jc w:val="both"/>
        <w:ind w:left="480"/>
        <w:spacing w:after="0" w:line="274" w:lineRule="auto"/>
        <w:rPr>
          <w:sz w:val="20"/>
          <w:szCs w:val="20"/>
          <w:color w:val="auto"/>
        </w:rPr>
      </w:pPr>
      <w:r>
        <w:rPr>
          <w:rFonts w:ascii="Times New Roman" w:cs="Times New Roman" w:eastAsia="Times New Roman" w:hAnsi="Times New Roman"/>
          <w:sz w:val="13"/>
          <w:szCs w:val="13"/>
          <w:color w:val="auto"/>
        </w:rPr>
        <w:t>Shipping companies must surrender allowances to the EU Member State which corresponds to their administering authority. The allowances must be submitted through the maritime operator holding account for that EU Member State. Failure to surrender allowances within the deadline for a single ship can affect compliance for an entire fleet. Companies that fail to surrender allowances are liable for an excess emissions penalty of 100 Euros per tonne of CO2 and are still liable for surrender of the required allowances.</w:t>
      </w:r>
    </w:p>
    <w:p>
      <w:pPr>
        <w:spacing w:after="0" w:line="127" w:lineRule="exact"/>
        <w:rPr>
          <w:sz w:val="20"/>
          <w:szCs w:val="20"/>
          <w:color w:val="auto"/>
        </w:rPr>
      </w:pPr>
    </w:p>
    <w:p>
      <w:pPr>
        <w:jc w:val="both"/>
        <w:ind w:left="480"/>
        <w:spacing w:after="0" w:line="293" w:lineRule="auto"/>
        <w:rPr>
          <w:sz w:val="20"/>
          <w:szCs w:val="20"/>
          <w:color w:val="auto"/>
        </w:rPr>
      </w:pPr>
      <w:r>
        <w:rPr>
          <w:rFonts w:ascii="Times New Roman" w:cs="Times New Roman" w:eastAsia="Times New Roman" w:hAnsi="Times New Roman"/>
          <w:sz w:val="13"/>
          <w:szCs w:val="13"/>
          <w:color w:val="auto"/>
        </w:rPr>
        <w:t>In line with the “polluter pays” principle, a shipping company could, by means of a contractual arrangement, hold the entity that is directly responsible for the decisions affecting the CO2 emissions of the ship accountable for the compliance costs under the ETS. This entity would normally be the entity that is responsible for the choice of fuel, route and speed of the ship.</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During the fourth quarter of 2023, we took proactive steps to prepare for upcoming ETS regulation by:</w:t>
      </w:r>
    </w:p>
    <w:p>
      <w:pPr>
        <w:spacing w:after="0" w:line="170" w:lineRule="exact"/>
        <w:rPr>
          <w:sz w:val="20"/>
          <w:szCs w:val="20"/>
          <w:color w:val="auto"/>
        </w:rPr>
      </w:pPr>
    </w:p>
    <w:p>
      <w:pPr>
        <w:ind w:left="960" w:hanging="481"/>
        <w:spacing w:after="0"/>
        <w:tabs>
          <w:tab w:leader="none" w:pos="960" w:val="left"/>
        </w:tabs>
        <w:numPr>
          <w:ilvl w:val="0"/>
          <w:numId w:val="5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quantifying and projecting our EUAs exposure;</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5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identifying operational processes that need to be established to comply with the regulations;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5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revising and enhancing our legal documentation and time charter agreements to align with regulatory requirements; and</w:t>
      </w:r>
    </w:p>
    <w:p>
      <w:pPr>
        <w:spacing w:after="0" w:line="169"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77</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78" w:name="page79"/>
    <w:bookmarkEnd w:id="78"/>
    <w:p>
      <w:pPr>
        <w:ind w:left="960" w:hanging="481"/>
        <w:spacing w:after="0"/>
        <w:tabs>
          <w:tab w:leader="none" w:pos="960" w:val="left"/>
        </w:tabs>
        <w:numPr>
          <w:ilvl w:val="0"/>
          <w:numId w:val="5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configuring systems for monitoring and reporting.</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These actions were aimed at ensuring our readiness and compliance with the evolving regulatory landscape.</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During 2024, we:</w:t>
      </w:r>
    </w:p>
    <w:p>
      <w:pPr>
        <w:spacing w:after="0" w:line="170" w:lineRule="exact"/>
        <w:rPr>
          <w:sz w:val="20"/>
          <w:szCs w:val="20"/>
          <w:color w:val="auto"/>
        </w:rPr>
      </w:pPr>
    </w:p>
    <w:p>
      <w:pPr>
        <w:ind w:left="960" w:hanging="481"/>
        <w:spacing w:after="0"/>
        <w:tabs>
          <w:tab w:leader="none" w:pos="960" w:val="left"/>
        </w:tabs>
        <w:numPr>
          <w:ilvl w:val="0"/>
          <w:numId w:val="5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proceeded with the opening of Maritime Operating Holding Accounts in compliance with regulatory directives;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5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proceeded on exchanging and reconciling data with involved stakeholders;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5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strengthened our operations and systems to support the new regulations;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5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established robust EUA procurement platforms with reputable counterparties, ensuring efficient EUA acquisitions when required; and</w:t>
      </w:r>
    </w:p>
    <w:p>
      <w:pPr>
        <w:spacing w:after="0" w:line="169" w:lineRule="exact"/>
        <w:rPr>
          <w:rFonts w:ascii="Arial" w:cs="Arial" w:eastAsia="Arial" w:hAnsi="Arial"/>
          <w:sz w:val="13"/>
          <w:szCs w:val="13"/>
          <w:b w:val="1"/>
          <w:bCs w:val="1"/>
          <w:color w:val="auto"/>
        </w:rPr>
      </w:pPr>
    </w:p>
    <w:p>
      <w:pPr>
        <w:ind w:left="960" w:hanging="481"/>
        <w:spacing w:after="0" w:line="292" w:lineRule="auto"/>
        <w:tabs>
          <w:tab w:leader="none" w:pos="960" w:val="left"/>
        </w:tabs>
        <w:numPr>
          <w:ilvl w:val="0"/>
          <w:numId w:val="5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incorporated emissions-related costs into our commercial arrangements, including through charterparty provisions and/or emissions clauses, providing for the pass-through of such costs to charterers.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During 2025, we:</w:t>
      </w:r>
    </w:p>
    <w:p>
      <w:pPr>
        <w:spacing w:after="0" w:line="170" w:lineRule="exact"/>
        <w:rPr>
          <w:sz w:val="20"/>
          <w:szCs w:val="20"/>
          <w:color w:val="auto"/>
        </w:rPr>
      </w:pPr>
    </w:p>
    <w:p>
      <w:pPr>
        <w:ind w:left="960" w:hanging="481"/>
        <w:spacing w:after="0"/>
        <w:tabs>
          <w:tab w:leader="none" w:pos="960" w:val="left"/>
        </w:tabs>
        <w:numPr>
          <w:ilvl w:val="1"/>
          <w:numId w:val="5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fulfilled all applicable ETS compliance obligations, including the collection of EUAs from charterers and the timely surrender of allowances to the competent administrative authorities;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1"/>
          <w:numId w:val="5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ensured that all vessels were fully compliant with ETS requirements; and</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1"/>
          <w:numId w:val="5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obtained and maintained onboard the vessels the relevant documents of compliance for all applicable vessels.</w:t>
      </w:r>
    </w:p>
    <w:p>
      <w:pPr>
        <w:spacing w:after="0" w:line="167" w:lineRule="exact"/>
        <w:rPr>
          <w:rFonts w:ascii="Arial" w:cs="Arial" w:eastAsia="Arial" w:hAnsi="Arial"/>
          <w:sz w:val="13"/>
          <w:szCs w:val="13"/>
          <w:b w:val="1"/>
          <w:bCs w:val="1"/>
          <w:color w:val="auto"/>
        </w:rPr>
      </w:pPr>
    </w:p>
    <w:p>
      <w:pPr>
        <w:jc w:val="both"/>
        <w:ind w:left="480" w:hanging="480"/>
        <w:spacing w:after="0" w:line="227" w:lineRule="auto"/>
        <w:tabs>
          <w:tab w:leader="none" w:pos="480" w:val="left"/>
        </w:tabs>
        <w:numPr>
          <w:ilvl w:val="0"/>
          <w:numId w:val="54"/>
        </w:numPr>
        <w:rPr>
          <w:rFonts w:ascii="Arial" w:cs="Arial" w:eastAsia="Arial" w:hAnsi="Arial"/>
          <w:sz w:val="13"/>
          <w:szCs w:val="13"/>
          <w:b w:val="1"/>
          <w:bCs w:val="1"/>
          <w:color w:val="auto"/>
        </w:rPr>
      </w:pPr>
      <w:r>
        <w:rPr>
          <w:rFonts w:ascii="Times New Roman" w:cs="Times New Roman" w:eastAsia="Times New Roman" w:hAnsi="Times New Roman"/>
          <w:sz w:val="13"/>
          <w:szCs w:val="13"/>
          <w:b w:val="1"/>
          <w:bCs w:val="1"/>
          <w:color w:val="auto"/>
        </w:rPr>
        <w:t xml:space="preserve">FuelEU Regulation: </w:t>
      </w:r>
      <w:r>
        <w:rPr>
          <w:rFonts w:ascii="Times New Roman" w:cs="Times New Roman" w:eastAsia="Times New Roman" w:hAnsi="Times New Roman"/>
          <w:sz w:val="13"/>
          <w:szCs w:val="13"/>
          <w:color w:val="auto"/>
        </w:rPr>
        <w:t>This is a technical measure that incentivizes the production and uptake of sustainable low carbon and renewable fuels. From January 1, 2025, the GHG intensity of energy consumed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onboard vessels on European voyages is evaluated on a well-to-wake (“WtW”) basis. Starting from 2025, an upper limit of GHG intensity—which is calculated based on the EU MRV data from 2020— will be gradually decreased every five years from 2% in 2025 to 80% in 2050. The regulation sets an upper limit on energy’s GHG intensity, expressed in gCO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eq/megajoule. The reference value is set at 91.16 grams of 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e per megajoule based on energy used on board by ships in 2020, determined by the reported data in the framework of Regulation (EU) 2015/757, EU MRV. In order to ensure that the energy used on board will be less carbon intensive over time, the GHG intensity limit will be periodically reduced. For each reporting year, the energy used on board must be below the reference GHG intensity. If the actual GHG intensity is higher, a remedial penalty will be imposed. When a ship has a compliance deficit for two or more consecutive reporting periods, the remedial penalty will be multiplied by a factor that is increased for each year of non-compliance. The progressive reduction of upper limit of GHG intensity is intended to incentivize the development and uptake of biofuels and renewable fuels of non-biological origin (“RFNBOs”). Furthermore, the regulation permits a ship to bank a compliance surplus during a reporting period and use it in the following reporting period. In addition, several vessels of the same or different owners may create a compliance pool so as to take advantage of their aggregate surplus.</w:t>
      </w:r>
    </w:p>
    <w:p>
      <w:pPr>
        <w:spacing w:after="0" w:line="150" w:lineRule="exact"/>
        <w:rPr>
          <w:rFonts w:ascii="Arial" w:cs="Arial" w:eastAsia="Arial" w:hAnsi="Arial"/>
          <w:sz w:val="13"/>
          <w:szCs w:val="13"/>
          <w:b w:val="1"/>
          <w:bCs w:val="1"/>
          <w:color w:val="auto"/>
        </w:rPr>
      </w:pPr>
    </w:p>
    <w:p>
      <w:pPr>
        <w:ind w:left="480"/>
        <w:spacing w:after="0" w:line="293" w:lineRule="auto"/>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Additionally, from January 1, 2030, containerships and passenger ships will be required to adopt cold-ironing by connecting to onshore power supply (“OPS”) and use it for all energy needs while at berth in a port of call under the jurisdiction of a Member State. Similar to the ETS, non-compliance may lead to fines and vessels being banned from EU waters.</w:t>
      </w:r>
    </w:p>
    <w:p>
      <w:pPr>
        <w:spacing w:after="0" w:line="114" w:lineRule="exact"/>
        <w:rPr>
          <w:rFonts w:ascii="Arial" w:cs="Arial" w:eastAsia="Arial" w:hAnsi="Arial"/>
          <w:sz w:val="13"/>
          <w:szCs w:val="13"/>
          <w:b w:val="1"/>
          <w:bCs w:val="1"/>
          <w:color w:val="auto"/>
        </w:rPr>
      </w:pPr>
    </w:p>
    <w:p>
      <w:pPr>
        <w:jc w:val="both"/>
        <w:ind w:left="480"/>
        <w:spacing w:after="0" w:line="274" w:lineRule="auto"/>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FuelEU Regulation supports LNG as a transitional fuel, allowing LNG-powered vessels, like ours, to comply up to the reporting period of 2035 to 2040. Moreover, the FuelEU Regulation “pooling” mechanism may create upside potential. After conducting an internal assessment of the impact of the FuelEU Regulation on our fleet, we anticipate that we will not incur any penalties in the short to medium term.</w:t>
      </w:r>
    </w:p>
    <w:p>
      <w:pPr>
        <w:spacing w:after="0" w:line="127"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78</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46" w:right="319" w:bottom="1440" w:gutter="0" w:footer="0" w:header="0"/>
        </w:sectPr>
      </w:pPr>
    </w:p>
    <w:bookmarkStart w:id="79" w:name="page80"/>
    <w:bookmarkEnd w:id="79"/>
    <w:p>
      <w:pPr>
        <w:ind w:left="480"/>
        <w:spacing w:after="0"/>
        <w:rPr>
          <w:sz w:val="20"/>
          <w:szCs w:val="20"/>
          <w:color w:val="auto"/>
        </w:rPr>
      </w:pPr>
      <w:r>
        <w:rPr>
          <w:rFonts w:ascii="Times New Roman" w:cs="Times New Roman" w:eastAsia="Times New Roman" w:hAnsi="Times New Roman"/>
          <w:sz w:val="13"/>
          <w:szCs w:val="13"/>
          <w:color w:val="auto"/>
        </w:rPr>
        <w:t>During 2025, we:</w:t>
      </w:r>
    </w:p>
    <w:p>
      <w:pPr>
        <w:spacing w:after="0" w:line="170" w:lineRule="exact"/>
        <w:rPr>
          <w:sz w:val="20"/>
          <w:szCs w:val="20"/>
          <w:color w:val="auto"/>
        </w:rPr>
      </w:pPr>
    </w:p>
    <w:p>
      <w:pPr>
        <w:ind w:left="940" w:hanging="471"/>
        <w:spacing w:after="0"/>
        <w:tabs>
          <w:tab w:leader="none" w:pos="940" w:val="left"/>
        </w:tabs>
        <w:numPr>
          <w:ilvl w:val="1"/>
          <w:numId w:val="5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implemented internal system upgrades to support the calculation, monitoring and reporting of FuelEU Regulation compliance metrics, including GHG intensity and energy use;</w:t>
      </w:r>
    </w:p>
    <w:p>
      <w:pPr>
        <w:spacing w:after="0" w:line="169" w:lineRule="exact"/>
        <w:rPr>
          <w:rFonts w:ascii="Arial" w:cs="Arial" w:eastAsia="Arial" w:hAnsi="Arial"/>
          <w:sz w:val="13"/>
          <w:szCs w:val="13"/>
          <w:b w:val="1"/>
          <w:bCs w:val="1"/>
          <w:color w:val="auto"/>
        </w:rPr>
      </w:pPr>
    </w:p>
    <w:p>
      <w:pPr>
        <w:ind w:left="940" w:hanging="471"/>
        <w:spacing w:after="0"/>
        <w:tabs>
          <w:tab w:leader="none" w:pos="940" w:val="left"/>
        </w:tabs>
        <w:numPr>
          <w:ilvl w:val="1"/>
          <w:numId w:val="5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established processes and controls for data collection, verification and submission in line with regulatory requirements; and</w:t>
      </w:r>
    </w:p>
    <w:p>
      <w:pPr>
        <w:spacing w:after="0" w:line="169" w:lineRule="exact"/>
        <w:rPr>
          <w:rFonts w:ascii="Arial" w:cs="Arial" w:eastAsia="Arial" w:hAnsi="Arial"/>
          <w:sz w:val="13"/>
          <w:szCs w:val="13"/>
          <w:b w:val="1"/>
          <w:bCs w:val="1"/>
          <w:color w:val="auto"/>
        </w:rPr>
      </w:pPr>
    </w:p>
    <w:p>
      <w:pPr>
        <w:ind w:left="940" w:hanging="471"/>
        <w:spacing w:after="0"/>
        <w:tabs>
          <w:tab w:leader="none" w:pos="940" w:val="left"/>
        </w:tabs>
        <w:numPr>
          <w:ilvl w:val="1"/>
          <w:numId w:val="5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enhanced our operational and reporting framework to ensure readiness for compliance with FuelEU Regulation obligations.</w:t>
      </w:r>
    </w:p>
    <w:p>
      <w:pPr>
        <w:spacing w:after="0" w:line="167" w:lineRule="exact"/>
        <w:rPr>
          <w:rFonts w:ascii="Arial" w:cs="Arial" w:eastAsia="Arial" w:hAnsi="Arial"/>
          <w:sz w:val="13"/>
          <w:szCs w:val="13"/>
          <w:b w:val="1"/>
          <w:bCs w:val="1"/>
          <w:color w:val="auto"/>
        </w:rPr>
      </w:pPr>
    </w:p>
    <w:p>
      <w:pPr>
        <w:ind w:left="480" w:hanging="480"/>
        <w:spacing w:after="0" w:line="295" w:lineRule="auto"/>
        <w:tabs>
          <w:tab w:leader="none" w:pos="480" w:val="left"/>
        </w:tabs>
        <w:numPr>
          <w:ilvl w:val="0"/>
          <w:numId w:val="55"/>
        </w:numPr>
        <w:rPr>
          <w:rFonts w:ascii="Arial" w:cs="Arial" w:eastAsia="Arial" w:hAnsi="Arial"/>
          <w:sz w:val="13"/>
          <w:szCs w:val="13"/>
          <w:b w:val="1"/>
          <w:bCs w:val="1"/>
          <w:color w:val="auto"/>
        </w:rPr>
      </w:pPr>
      <w:r>
        <w:rPr>
          <w:rFonts w:ascii="Times New Roman" w:cs="Times New Roman" w:eastAsia="Times New Roman" w:hAnsi="Times New Roman"/>
          <w:sz w:val="13"/>
          <w:szCs w:val="13"/>
          <w:b w:val="1"/>
          <w:bCs w:val="1"/>
          <w:color w:val="auto"/>
        </w:rPr>
        <w:t xml:space="preserve">Alternative Fuel Infrastructure Regulation </w:t>
      </w:r>
      <w:r>
        <w:rPr>
          <w:rFonts w:ascii="Times New Roman" w:cs="Times New Roman" w:eastAsia="Times New Roman" w:hAnsi="Times New Roman"/>
          <w:sz w:val="13"/>
          <w:szCs w:val="13"/>
          <w:color w:val="auto"/>
        </w:rPr>
        <w:t>(“AFIR”): In July 2023, AFIR was revised to support the objectives of the FuelEU Regulation by requiring EU Member States to speed up the provision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LNG bunkering terminals and OPS in major ports as follows:</w:t>
      </w:r>
    </w:p>
    <w:p>
      <w:pPr>
        <w:spacing w:after="0" w:line="112" w:lineRule="exact"/>
        <w:rPr>
          <w:rFonts w:ascii="Arial" w:cs="Arial" w:eastAsia="Arial" w:hAnsi="Arial"/>
          <w:sz w:val="13"/>
          <w:szCs w:val="13"/>
          <w:b w:val="1"/>
          <w:bCs w:val="1"/>
          <w:color w:val="auto"/>
        </w:rPr>
      </w:pPr>
    </w:p>
    <w:p>
      <w:pPr>
        <w:ind w:left="960" w:hanging="481"/>
        <w:spacing w:after="0" w:line="292" w:lineRule="auto"/>
        <w:tabs>
          <w:tab w:leader="none" w:pos="960" w:val="left"/>
        </w:tabs>
        <w:numPr>
          <w:ilvl w:val="1"/>
          <w:numId w:val="5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Containerships and passenger ship terminals are required to have provisions by January 1, 2030 for OPS that meet 90% of the expected demand of those ports for containerships and passenger ships over 5,000 gross tonnage, where there are a certain number of port calls by those ship.</w:t>
      </w:r>
    </w:p>
    <w:p>
      <w:pPr>
        <w:spacing w:after="0" w:line="114" w:lineRule="exact"/>
        <w:rPr>
          <w:rFonts w:ascii="Arial" w:cs="Arial" w:eastAsia="Arial" w:hAnsi="Arial"/>
          <w:sz w:val="13"/>
          <w:szCs w:val="13"/>
          <w:b w:val="1"/>
          <w:bCs w:val="1"/>
          <w:color w:val="auto"/>
        </w:rPr>
      </w:pPr>
    </w:p>
    <w:p>
      <w:pPr>
        <w:ind w:left="960" w:hanging="481"/>
        <w:spacing w:after="0" w:line="292" w:lineRule="auto"/>
        <w:tabs>
          <w:tab w:leader="none" w:pos="960" w:val="left"/>
        </w:tabs>
        <w:numPr>
          <w:ilvl w:val="1"/>
          <w:numId w:val="5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Sets targets from 1 January 2025 for the supply of liquid methane through an appropriate number of refueling points (as determined by the Member States) in maritime ports. These targets are aligned and consistent with the FuelEU Regulation.</w:t>
      </w:r>
    </w:p>
    <w:p>
      <w:pPr>
        <w:spacing w:after="0" w:line="112" w:lineRule="exact"/>
        <w:rPr>
          <w:rFonts w:ascii="Arial" w:cs="Arial" w:eastAsia="Arial" w:hAnsi="Arial"/>
          <w:sz w:val="13"/>
          <w:szCs w:val="13"/>
          <w:b w:val="1"/>
          <w:bCs w:val="1"/>
          <w:color w:val="auto"/>
        </w:rPr>
      </w:pPr>
    </w:p>
    <w:p>
      <w:pPr>
        <w:jc w:val="both"/>
        <w:ind w:left="480" w:hanging="480"/>
        <w:spacing w:after="0" w:line="260" w:lineRule="auto"/>
        <w:tabs>
          <w:tab w:leader="none" w:pos="480" w:val="left"/>
        </w:tabs>
        <w:numPr>
          <w:ilvl w:val="0"/>
          <w:numId w:val="55"/>
        </w:numPr>
        <w:rPr>
          <w:rFonts w:ascii="Arial" w:cs="Arial" w:eastAsia="Arial" w:hAnsi="Arial"/>
          <w:sz w:val="13"/>
          <w:szCs w:val="13"/>
          <w:b w:val="1"/>
          <w:bCs w:val="1"/>
          <w:color w:val="auto"/>
        </w:rPr>
      </w:pPr>
      <w:r>
        <w:rPr>
          <w:rFonts w:ascii="Times New Roman" w:cs="Times New Roman" w:eastAsia="Times New Roman" w:hAnsi="Times New Roman"/>
          <w:sz w:val="13"/>
          <w:szCs w:val="13"/>
          <w:b w:val="1"/>
          <w:bCs w:val="1"/>
          <w:color w:val="auto"/>
        </w:rPr>
        <w:t xml:space="preserve">Renewable Energy Directive </w:t>
      </w:r>
      <w:r>
        <w:rPr>
          <w:rFonts w:ascii="Times New Roman" w:cs="Times New Roman" w:eastAsia="Times New Roman" w:hAnsi="Times New Roman"/>
          <w:sz w:val="13"/>
          <w:szCs w:val="13"/>
          <w:color w:val="auto"/>
        </w:rPr>
        <w:t>(“RED II”): In November 2016, the European Commission published its Clean Energy for all Europeans initiative. As part of this package, the Commission adopted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legislative proposal for a recast of the Renewable Energy Directive. In the context of the co-decision procedure, a final compromise text among the EU institutions was agreed in June 2018. In December 2018, the revised renewable energy directive 2018/2001/EU entered into force. In RED II, the overall EU target for Renewable Energy Sources consumption by 2030 has been raised to 32%. The Commission’s original proposal did not include a transport sub-target, which has been introduced by co-legislators in the final agreement: Member States must require fuel suppliers to supply a minimum of 14% of the energy consumed in road and rail transport by 2030 as renewable energy. The Directive 2009/28/EC specifies national renewable energy targets for 2020 for each country, taking into account its starting point and overall potential for renewables. These targets range from a low of 10% in Malta to a high of 49% in Sweden. The RED II defines a series of sustainability and GHG emission criteria that bioliquids used in transport must comply with to be counted towards the overall 14% target and to be eligible for financial support by public authorities. Some of these criteria are the same as in the original RED, while others are new or reformulated. In particular, the RED II introduces sustainability for forestry feedstocks as well as GHG criteria for solid and gaseous biomass fuels. Default GHG emission values and calculation rules are provided in Annex V (for liquid biofuels) and Annex VI (for solid and gaseous biomass for power and heat production) of the RED II. The Commission can revise and update the default values of GHG emissions when technological developments make it necessary. Economic operators have the option to either use default GHG intensity values provided in RED II or to calculate actual values for their pathway.</w:t>
      </w:r>
    </w:p>
    <w:p>
      <w:pPr>
        <w:spacing w:after="0" w:line="134" w:lineRule="exact"/>
        <w:rPr>
          <w:rFonts w:ascii="Arial" w:cs="Arial" w:eastAsia="Arial" w:hAnsi="Arial"/>
          <w:sz w:val="13"/>
          <w:szCs w:val="13"/>
          <w:b w:val="1"/>
          <w:bCs w:val="1"/>
          <w:color w:val="auto"/>
        </w:rPr>
      </w:pPr>
    </w:p>
    <w:p>
      <w:pPr>
        <w:jc w:val="both"/>
        <w:ind w:left="480" w:hanging="480"/>
        <w:spacing w:after="0" w:line="269" w:lineRule="auto"/>
        <w:tabs>
          <w:tab w:leader="none" w:pos="480" w:val="left"/>
        </w:tabs>
        <w:numPr>
          <w:ilvl w:val="0"/>
          <w:numId w:val="55"/>
        </w:numPr>
        <w:rPr>
          <w:rFonts w:ascii="Arial" w:cs="Arial" w:eastAsia="Arial" w:hAnsi="Arial"/>
          <w:sz w:val="13"/>
          <w:szCs w:val="13"/>
          <w:b w:val="1"/>
          <w:bCs w:val="1"/>
          <w:color w:val="auto"/>
        </w:rPr>
      </w:pPr>
      <w:r>
        <w:rPr>
          <w:rFonts w:ascii="Times New Roman" w:cs="Times New Roman" w:eastAsia="Times New Roman" w:hAnsi="Times New Roman"/>
          <w:sz w:val="13"/>
          <w:szCs w:val="13"/>
          <w:b w:val="1"/>
          <w:bCs w:val="1"/>
          <w:color w:val="auto"/>
        </w:rPr>
        <w:t>Energy Taxation Directive</w:t>
      </w:r>
      <w:r>
        <w:rPr>
          <w:rFonts w:ascii="Times New Roman" w:cs="Times New Roman" w:eastAsia="Times New Roman" w:hAnsi="Times New Roman"/>
          <w:sz w:val="13"/>
          <w:szCs w:val="13"/>
          <w:color w:val="auto"/>
        </w:rPr>
        <w:t>: A revision of the Energy Taxation Directive has been proposed to align the taxation of energy products and electricity with the EU’s energy, environment and climate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policies. This will be done by taxing fuels that pollute at higher rates than those of less polluting and more sustainable alternative fuels. A specific provision of the proposal affecting the maritime transport sector is to remove tax exemption from conventional fuels used between EU ports and incentivize the uptake of alternative fuels by keeping them tax exempt for a transitional period of 10 years. Member States can also apply a tax exemption to shore-side electricity to incentivize its use.</w:t>
      </w:r>
    </w:p>
    <w:p>
      <w:pPr>
        <w:spacing w:after="0" w:line="130"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79</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80" w:name="page81"/>
    <w:bookmarkEnd w:id="80"/>
    <w:p>
      <w:pPr>
        <w:jc w:val="both"/>
        <w:ind w:left="480" w:hanging="480"/>
        <w:spacing w:after="0" w:line="260" w:lineRule="auto"/>
        <w:tabs>
          <w:tab w:leader="none" w:pos="480" w:val="left"/>
        </w:tabs>
        <w:numPr>
          <w:ilvl w:val="0"/>
          <w:numId w:val="56"/>
        </w:numPr>
        <w:rPr>
          <w:rFonts w:ascii="Arial" w:cs="Arial" w:eastAsia="Arial" w:hAnsi="Arial"/>
          <w:sz w:val="13"/>
          <w:szCs w:val="13"/>
          <w:b w:val="1"/>
          <w:bCs w:val="1"/>
          <w:color w:val="auto"/>
        </w:rPr>
      </w:pPr>
      <w:r>
        <w:rPr>
          <w:rFonts w:ascii="Times New Roman" w:cs="Times New Roman" w:eastAsia="Times New Roman" w:hAnsi="Times New Roman"/>
          <w:sz w:val="13"/>
          <w:szCs w:val="13"/>
          <w:b w:val="1"/>
          <w:bCs w:val="1"/>
          <w:color w:val="auto"/>
        </w:rPr>
        <w:t>Corporate Sustainability Due Diligence Directive</w:t>
      </w:r>
      <w:r>
        <w:rPr>
          <w:rFonts w:ascii="Times New Roman" w:cs="Times New Roman" w:eastAsia="Times New Roman" w:hAnsi="Times New Roman"/>
          <w:sz w:val="13"/>
          <w:szCs w:val="13"/>
          <w:color w:val="auto"/>
        </w:rPr>
        <w:t>: On July 25, 2024, the Directive on corporate sustainability due diligence (Directive 2024/1760) (“CS3D”) entered into force. The aim of the CS3D is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to foster sustainable and responsible corporate behavior in companies’ operations and across their global value chains. The new rules will ensure that companies in scope identify and address adverse human rights and environmental impacts of their actions inside and outside Europe. The CS3D sets out an obligation for large companies to adopt and put into effect, through best efforts, a transition plan for climate change mitigation aligned with the 2050 climate neutrality objective of the Paris Agreement as well as intermediate targets under the European Climate Law. An omnibus proposal to amend the Corporate Sustainability Due Diligence Directive with a view to simplifying the duties and reducing regulatory burden, while preserving the original policy objectives was adopted by the European Commission in February 2025. The Council and the European Parliament reached a provisional agreement on the proposed legislation in December 2025, and further developments are expected in 2026. Under the provisional agreement, Member States will have to transpose the CS3D into national law by 26 July 2028. Companies will have to comply with the new measures by July 2029. In addition, the provisional agreement increases the thresholds for the application of the CS3D to 5,000 employees and €1.5 billion net turnover. Subject to further negotiations between the co-legislators and transposition of the CS3D into national law, we may become subject to the CS3D. If we become subject to the CS3D, we would be responsible for the costs of establishing and operating the due diligence process and any transition costs, including expenditure and investments to adapt our operations and value chains to comply with the due diligence obligation, if needed.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International Requirements</w:t>
      </w:r>
    </w:p>
    <w:p>
      <w:pPr>
        <w:spacing w:after="0" w:line="174"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In September 1997, the IMO adopted Annex VI to the International Convention for the Prevention of Pollution from Ships to address air pollution from ships. Annex VI sets limits on sulphur oxide and nitrogen oxide emissions from ship exhausts and prohibits deliberate emissions of ozone depleting substances, such as chlorofluorocarbons. Annex VI also includes a global cap on the sulphur content of fuel oil and allows for special SECAs to be established with more stringent controls on sulphur emissions.</w:t>
      </w:r>
    </w:p>
    <w:p>
      <w:pPr>
        <w:spacing w:after="0" w:line="127"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Amendments to Annex VI to the MARPOL address particulate matter, nitrogen oxide and sulphur oxide emissions. The revised Annex VI reduces air pollution from vessels by, among other things (i) implementing a progressive reduction of sulphur oxide emissions from ships, and (ii) establishing new tiers of stringent nitrogen oxide emissions standards for new marine engines, depending on their date of installation. A global 0.5% sulphur cap on marine fuels came into force on January 1, 2020, as agreed in amendments adopted in 2008 for Annex VI to the MARPOL.</w:t>
      </w:r>
    </w:p>
    <w:p>
      <w:pPr>
        <w:spacing w:after="0" w:line="127"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Annex VI sets progressively stricter regulations to control sulphur oxides and NOx emissions from ships, which present both environmental and health risks. The 0.5% sulphur cap marks a significant reduction from the prior global sulphur cap of 3.5%, which came into effect on January 1, 2012. Shipowners can meet the new requirements by continuing to use fuel types which exceed the 0.5% sulphur limit and retrofitting an approved Exhaust Gas Cleaning System (also known as scrubbers) to remove sulphur from exhaust, which would require a substantial capital expenditure and prolonged off-hire of the vessel during installation, or use petroleum fuels such as marine gasoil (MGO), which meet the 0.5% sulphur limit. Depending on the vessel type and size, this could mean a substantial increase in the cost of bunkers for the vessel. This cost could increase further if the refining sector is unable to cope with the higher distillate demand, resulting in a tight distillate market and wider spread between HSFOs and MGOs, or by retrofitting the vessel to handle alternative fuels, such as LNG, methanol, biofuels, LPG, etc. Retrofitting vessels for the consumption of these type of alternative fuels would involve a substantial capital expenditure and might be uneconomical for most conventional vessel types given current technology and design challenges.</w:t>
      </w:r>
    </w:p>
    <w:p>
      <w:pPr>
        <w:spacing w:after="0" w:line="135"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Additionally, as of January 1, 2015, more stringent sulphur emission standards apply in coastal areas designated as SECAs. We incur additional costs to comply with these revised standards. A failure to comply with Annex VI requirements could result in a vessel not being able to operate. All of our vessels are subject to Annex VI regulations. We believe that our existing vessels meet relevant Annex VI requirements. Nevertheless, as most existing vessels are not designed to operate on ultra-low sulphur distillate fuel continuously, we are introducing mitigating measures and or modifications enabling vessels to operate continuously within SECAs. These mitigation measures and modifications may increase our operating expenses.</w:t>
      </w:r>
    </w:p>
    <w:p>
      <w:pPr>
        <w:spacing w:after="0" w:line="131"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80</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44" w:right="319" w:bottom="1440" w:gutter="0" w:footer="0" w:header="0"/>
        </w:sectPr>
      </w:pPr>
    </w:p>
    <w:bookmarkStart w:id="81" w:name="page82"/>
    <w:bookmarkEnd w:id="81"/>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NOx is one of the gaseous pollutants from ships regulated by the International Convention for the Prevention of Pollution from Ships (“MARPOL Annex VI(1)”), published by the IMO. Under Regulation 13 of MARPOL Annex VI, three tiers of NOx emission limits are set for diesel engines with a power output higher than 130 kW, i.e., Tier I, Tier II and Tier III. Each Tier limits the NOx emission to a specific value based on the rated engine speed. Diesel engines for installation on a ship constructed on or after January 1, 2016 are subject to IMO Tier III requirements when the ship is operating in a NOx Tier III emission control area (a “NOx ECA”) designated under Regulation 13 of MARPOL Annex VI.</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North American area, the United States Caribbean Sea area, the Baltic Sea area and the North Sea area are currently designated as NOx ECAs.</w:t>
      </w:r>
    </w:p>
    <w:p>
      <w:pPr>
        <w:spacing w:after="0" w:line="170"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Air emissions requirements are driving the development of primary engine technologies and secondary exhaust emissions abatement systems to reduce exhaust emissions from ships. As a result, a number of techniques and design features are utilized by internal combustion engine manufacturers to reduce NOx emissions. The predominant technologies used to achieve compliance with the IMO Tier III limit include reduction of NOx emission at the source and the treatment of the exhaust gas after combustion. Compliance with NOx Tier III increases the capital expenses of vessels due to the introduction of complex installations of technologies to treat exhaust gas after combustion.</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In general, as our vessels are employed under time charter arrangements, our charterers are responsible for procuring compliant bunkers for our vessels and incur the cost of these bunkers.</w:t>
      </w:r>
    </w:p>
    <w:p>
      <w:pPr>
        <w:spacing w:after="0" w:line="170"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The ISM code, promulgated by the IMO, also requires the party with operational control of a vessel to develop an extensive safety management system that includes, among other things, the adoption of a safety and environmental protection policy setting forth instructions and procedures for operating its vessels safely and describing procedures for responding to emergencies. The ISM code requires that vessel operators obtain a safety management certificate for each vessel they operate. No vessel can obtain a certificate unless its manager has been awarded a document of compliance, issued by each flag state, under the ISM code. All of our ocean-going vessels are ISM certified.</w:t>
      </w:r>
    </w:p>
    <w:p>
      <w:pPr>
        <w:spacing w:after="0" w:line="131"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Vessels that transport gas, including LNG/C vessels and LPG carriers, are also subject to the International Gas Carrier Code (“IGC”) which provides a standard for the safe carriage of LNG, LPG and certain other liquid gases by prescribing the design and construction standards of vessels involved in such carriage. Each of our vessels is in compliance with the IGC Code. The relevant Manager holds a document of compliance under the ISM code for operation of gas carriers.</w:t>
      </w:r>
    </w:p>
    <w:p>
      <w:pPr>
        <w:spacing w:after="0" w:line="127"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Noncompliance with the ISM code and other IMO regulations may subject the shipowner or bareboat charterer to increased liability, may lead to increased premiums and decreases in available insurance coverage for affected vessels and may result in the denial of access to, or detention in, some ports.</w:t>
      </w:r>
    </w:p>
    <w:p>
      <w:pPr>
        <w:spacing w:after="0" w:line="114"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Many countries have ratified and follow the liability plan adopted by the IMO and set out in the International Convention on Civil Liability for Oil Pollution Damage of 1969 (the “CLC”) (the United States, with its separate OPA 90 regime, is not a party to the CLC). Under this convention and depending on whether the country in which the damage results is a party to the 1992 Protocol to the International Convention on Civil Liability for Oil Pollution Damage, a vessel’s registered owner is strictly liable for pollution damage caused in the territorial waters of a contracting state by discharge of persistent oil, subject to certain defenses. Under the Protocol for vessels of 5,000 to 140,000 gross tons, liability is limited to approximately $7.1 million plus $989.2 for each additional gross ton over 5,000. For vessels of over 140,000 gross tons, liability is limited to approximately $140.7 million. As the convention calculates liability in terms of a basket of currencies, these figures are based on currency exchange rates on December 31, 2010. The right to limit liability is forfeited under the International Convention on Civil Liability for Oil Pollution Damage where the spill is caused by the owner’s actual fault and under the 1992 Protocol where the spill is caused by the owner’s intentional or reckless conduct. Vessels trading to states that are parties to these conventions must provide evidence of insurance covering the liability of the owner. In jurisdictions where the International Convention on Civil Liability for Oil Pollution Damage has not been adopted, various legislative schemes or common law regimes govern, and liability is imposed either on the basis of fault or in a manner similar to that convention. We believe that our P&amp;I insurance will cover the liability coverage requirements under the plan adopted by the IMO.</w:t>
      </w:r>
    </w:p>
    <w:p>
      <w:pPr>
        <w:spacing w:after="0" w:line="134"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81</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82" w:name="page83"/>
    <w:bookmarkEnd w:id="82"/>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In 2001, the IMO adopted the International Convention on Civil Liability for Bunker Oil Pollution Damage (the “Bunker Convention”), which imposes strict liability on ship owners for pollution damage caused by discharges of bunker oil in jurisdictional waters of ratifying states. The Bunker Convention also requires registered owners of ships over a certain size to maintain insurance for pollution damage in an amount equal to the limits of liability under the applicable national or international limitation regime (but not exceeding the amount calculated in accordance with the Convention on Limitation of Liability for Maritime Claims of 1976, as amended). Our fleet has been issued with a certificate attesting that insurance is in force in accordance with the insurance provisions of the convention.</w:t>
      </w:r>
    </w:p>
    <w:p>
      <w:pPr>
        <w:spacing w:after="0" w:line="129" w:lineRule="exact"/>
        <w:rPr>
          <w:sz w:val="20"/>
          <w:szCs w:val="20"/>
          <w:color w:val="auto"/>
        </w:rPr>
      </w:pPr>
    </w:p>
    <w:p>
      <w:pPr>
        <w:ind w:left="740" w:hanging="261"/>
        <w:spacing w:after="0"/>
        <w:tabs>
          <w:tab w:leader="none" w:pos="740" w:val="left"/>
        </w:tabs>
        <w:numPr>
          <w:ilvl w:val="0"/>
          <w:numId w:val="57"/>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IMO Sulphur CAP Regulation</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The IMO’s global 0.50% sulphur cap on marine fuels, effective since January 1, 2020, requires ships to use low-sulphur fuels or install exhaust gas cleaning systems (scrubbers) to comply. In SECAs, the limit is 0.10%. Non-compliance can result in fines, detention, or denial of access to ports. The regulation is part of MARPOL Annex VI and is a key component of the IMO’s strategy to reduce air pollution from ships.</w:t>
      </w:r>
    </w:p>
    <w:p>
      <w:pPr>
        <w:spacing w:after="0" w:line="125" w:lineRule="exact"/>
        <w:rPr>
          <w:sz w:val="20"/>
          <w:szCs w:val="20"/>
          <w:color w:val="auto"/>
        </w:rPr>
      </w:pPr>
    </w:p>
    <w:p>
      <w:pPr>
        <w:ind w:left="480"/>
        <w:spacing w:after="0"/>
        <w:tabs>
          <w:tab w:leader="none" w:pos="760" w:val="left"/>
        </w:tabs>
        <w:rPr>
          <w:sz w:val="20"/>
          <w:szCs w:val="20"/>
          <w:color w:val="auto"/>
        </w:rPr>
      </w:pPr>
      <w:r>
        <w:rPr>
          <w:rFonts w:ascii="Times New Roman" w:cs="Times New Roman" w:eastAsia="Times New Roman" w:hAnsi="Times New Roman"/>
          <w:sz w:val="13"/>
          <w:szCs w:val="13"/>
          <w:i w:val="1"/>
          <w:iCs w:val="1"/>
          <w:color w:val="auto"/>
        </w:rPr>
        <w:t>ii</w:t>
      </w:r>
      <w:r>
        <w:rPr>
          <w:sz w:val="20"/>
          <w:szCs w:val="20"/>
          <w:color w:val="auto"/>
        </w:rPr>
        <w:tab/>
      </w:r>
      <w:r>
        <w:rPr>
          <w:rFonts w:ascii="Times New Roman" w:cs="Times New Roman" w:eastAsia="Times New Roman" w:hAnsi="Times New Roman"/>
          <w:sz w:val="13"/>
          <w:szCs w:val="13"/>
          <w:i w:val="1"/>
          <w:iCs w:val="1"/>
          <w:color w:val="auto"/>
        </w:rPr>
        <w:t>New Emission Control Areas</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The IMO has designated several new ECAs where stricter limits on sulphur and NOx apply. These include the Baltic Sea, North Sea, North American ECA, and United States Caribbean Sea ECA. A Mediterranean ECA has been established imposing a 0.10% sulphur limit in the region from May, 1, 2025. Compliance with ECA regulations requires the use of low-sulphur fuels, scrubbers, or alternative fuels.</w:t>
      </w:r>
    </w:p>
    <w:p>
      <w:pPr>
        <w:spacing w:after="0" w:line="112" w:lineRule="exact"/>
        <w:rPr>
          <w:sz w:val="20"/>
          <w:szCs w:val="20"/>
          <w:color w:val="auto"/>
        </w:rPr>
      </w:pPr>
    </w:p>
    <w:p>
      <w:pPr>
        <w:ind w:left="480"/>
        <w:spacing w:after="0"/>
        <w:tabs>
          <w:tab w:leader="none" w:pos="800" w:val="left"/>
        </w:tabs>
        <w:rPr>
          <w:sz w:val="20"/>
          <w:szCs w:val="20"/>
          <w:color w:val="auto"/>
        </w:rPr>
      </w:pPr>
      <w:r>
        <w:rPr>
          <w:rFonts w:ascii="Times New Roman" w:cs="Times New Roman" w:eastAsia="Times New Roman" w:hAnsi="Times New Roman"/>
          <w:sz w:val="13"/>
          <w:szCs w:val="13"/>
          <w:i w:val="1"/>
          <w:iCs w:val="1"/>
          <w:color w:val="auto"/>
        </w:rPr>
        <w:t>iii</w:t>
      </w:r>
      <w:r>
        <w:rPr>
          <w:sz w:val="20"/>
          <w:szCs w:val="20"/>
          <w:color w:val="auto"/>
        </w:rPr>
        <w:tab/>
      </w:r>
      <w:r>
        <w:rPr>
          <w:rFonts w:ascii="Times New Roman" w:cs="Times New Roman" w:eastAsia="Times New Roman" w:hAnsi="Times New Roman"/>
          <w:sz w:val="13"/>
          <w:szCs w:val="13"/>
          <w:i w:val="1"/>
          <w:iCs w:val="1"/>
          <w:color w:val="auto"/>
        </w:rPr>
        <w:t>Cyber Security Regulations</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The IMO has introduced guidelines on cyber risk management, requiring shipping companies to incorporate cyber risk management into their safety management systems under the ISM Code. This is increasingly important as the shipping industry becomes more digitized and reliant on technology. Companies must ensure that their vessels and shore-based systems are protected against cyber threats. This is complemented by IACS UR E26/27 on Cyber Security.</w:t>
      </w:r>
    </w:p>
    <w:p>
      <w:pPr>
        <w:spacing w:after="0" w:line="125" w:lineRule="exact"/>
        <w:rPr>
          <w:sz w:val="20"/>
          <w:szCs w:val="20"/>
          <w:color w:val="auto"/>
        </w:rPr>
      </w:pPr>
    </w:p>
    <w:p>
      <w:pPr>
        <w:ind w:left="480"/>
        <w:spacing w:after="0"/>
        <w:tabs>
          <w:tab w:leader="none" w:pos="780" w:val="left"/>
        </w:tabs>
        <w:rPr>
          <w:sz w:val="20"/>
          <w:szCs w:val="20"/>
          <w:color w:val="auto"/>
        </w:rPr>
      </w:pPr>
      <w:r>
        <w:rPr>
          <w:rFonts w:ascii="Times New Roman" w:cs="Times New Roman" w:eastAsia="Times New Roman" w:hAnsi="Times New Roman"/>
          <w:sz w:val="13"/>
          <w:szCs w:val="13"/>
          <w:i w:val="1"/>
          <w:iCs w:val="1"/>
          <w:color w:val="auto"/>
        </w:rPr>
        <w:t>iv</w:t>
      </w:r>
      <w:r>
        <w:rPr>
          <w:sz w:val="20"/>
          <w:szCs w:val="20"/>
          <w:color w:val="auto"/>
        </w:rPr>
        <w:tab/>
      </w:r>
      <w:r>
        <w:rPr>
          <w:rFonts w:ascii="Times New Roman" w:cs="Times New Roman" w:eastAsia="Times New Roman" w:hAnsi="Times New Roman"/>
          <w:sz w:val="13"/>
          <w:szCs w:val="13"/>
          <w:i w:val="1"/>
          <w:iCs w:val="1"/>
          <w:color w:val="auto"/>
        </w:rPr>
        <w:t>Biofouling Management</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The IMO has developed guidelines for the control and management of ships’ biofouling to minimize the transfer of invasive aquatic species. While not yet mandatory, these guidelines are becoming increasingly important, and some countries are starting to implement their own biofouling regulations. Compliance with these guidelines will require regular hull inspections and cleaning to prevent the spread of invasive species. As of the date of this Annual Report, all of our vessels are equipped with BWTS.</w:t>
      </w:r>
    </w:p>
    <w:p>
      <w:pPr>
        <w:spacing w:after="0" w:line="125" w:lineRule="exact"/>
        <w:rPr>
          <w:sz w:val="20"/>
          <w:szCs w:val="20"/>
          <w:color w:val="auto"/>
        </w:rPr>
      </w:pPr>
    </w:p>
    <w:p>
      <w:pPr>
        <w:ind w:left="780" w:hanging="301"/>
        <w:spacing w:after="0"/>
        <w:tabs>
          <w:tab w:leader="none" w:pos="780" w:val="left"/>
        </w:tabs>
        <w:numPr>
          <w:ilvl w:val="0"/>
          <w:numId w:val="58"/>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Plastic Pollution Regulations</w:t>
      </w:r>
    </w:p>
    <w:p>
      <w:pPr>
        <w:spacing w:after="0" w:line="172"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The IMO is addressing the issue of plastic pollution from ships, and new regulations may be introduced to limit the discharge of plastics into the ocean. Some countries have already implemented strict regulations on plastic waste management, and this trend is likely to continue. Ship operators must ensure that they have proper waste management systems in place to comply with these regulations.</w:t>
      </w:r>
    </w:p>
    <w:p>
      <w:pPr>
        <w:spacing w:after="0" w:line="112" w:lineRule="exact"/>
        <w:rPr>
          <w:sz w:val="20"/>
          <w:szCs w:val="20"/>
          <w:color w:val="auto"/>
        </w:rPr>
      </w:pPr>
    </w:p>
    <w:p>
      <w:pPr>
        <w:ind w:left="480"/>
        <w:spacing w:after="0"/>
        <w:tabs>
          <w:tab w:leader="none" w:pos="780" w:val="left"/>
        </w:tabs>
        <w:rPr>
          <w:sz w:val="20"/>
          <w:szCs w:val="20"/>
          <w:color w:val="auto"/>
        </w:rPr>
      </w:pPr>
      <w:r>
        <w:rPr>
          <w:rFonts w:ascii="Times New Roman" w:cs="Times New Roman" w:eastAsia="Times New Roman" w:hAnsi="Times New Roman"/>
          <w:sz w:val="13"/>
          <w:szCs w:val="13"/>
          <w:i w:val="1"/>
          <w:iCs w:val="1"/>
          <w:color w:val="auto"/>
        </w:rPr>
        <w:t>vi</w:t>
      </w:r>
      <w:r>
        <w:rPr>
          <w:sz w:val="20"/>
          <w:szCs w:val="20"/>
          <w:color w:val="auto"/>
        </w:rPr>
        <w:tab/>
      </w:r>
      <w:r>
        <w:rPr>
          <w:rFonts w:ascii="Times New Roman" w:cs="Times New Roman" w:eastAsia="Times New Roman" w:hAnsi="Times New Roman"/>
          <w:sz w:val="13"/>
          <w:szCs w:val="13"/>
          <w:i w:val="1"/>
          <w:iCs w:val="1"/>
          <w:color w:val="auto"/>
        </w:rPr>
        <w:t>Crew Welfare and ILO Regulations</w:t>
      </w:r>
    </w:p>
    <w:p>
      <w:pPr>
        <w:spacing w:after="0" w:line="172"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Recent amendments to the Maritime Labour Convention have focused on improving living and working conditions for seafarers, including access to medical care, repatriation, and fair treatment. These updates have significant implications for ship operators, who must ensure that their vessels comply with the latest ILO regulations on crew welfare.</w:t>
      </w:r>
    </w:p>
    <w:p>
      <w:pPr>
        <w:spacing w:after="0" w:line="114"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82</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83" w:name="page84"/>
    <w:bookmarkEnd w:id="83"/>
    <w:p>
      <w:pPr>
        <w:ind w:left="480"/>
        <w:spacing w:after="0"/>
        <w:tabs>
          <w:tab w:leader="none" w:pos="820" w:val="left"/>
        </w:tabs>
        <w:rPr>
          <w:sz w:val="20"/>
          <w:szCs w:val="20"/>
          <w:color w:val="auto"/>
        </w:rPr>
      </w:pPr>
      <w:r>
        <w:rPr>
          <w:rFonts w:ascii="Times New Roman" w:cs="Times New Roman" w:eastAsia="Times New Roman" w:hAnsi="Times New Roman"/>
          <w:sz w:val="13"/>
          <w:szCs w:val="13"/>
          <w:i w:val="1"/>
          <w:iCs w:val="1"/>
          <w:color w:val="auto"/>
        </w:rPr>
        <w:t>vii</w:t>
      </w:r>
      <w:r>
        <w:rPr>
          <w:sz w:val="20"/>
          <w:szCs w:val="20"/>
          <w:color w:val="auto"/>
        </w:rPr>
        <w:tab/>
      </w:r>
      <w:r>
        <w:rPr>
          <w:rFonts w:ascii="Times New Roman" w:cs="Times New Roman" w:eastAsia="Times New Roman" w:hAnsi="Times New Roman"/>
          <w:sz w:val="13"/>
          <w:szCs w:val="13"/>
          <w:i w:val="1"/>
          <w:iCs w:val="1"/>
          <w:color w:val="auto"/>
        </w:rPr>
        <w:t>Ship Recycling Regulations</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The Hong Kong International Convention for the Safe and Environmentally Sound Recycling of Ships is expected to enter into force by 2028, and it will impose new requirements on shipowners regarding the recycling of vessels.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Climate Change and Greenhouse Gas Regulation</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Increasing concerns about climate change have resulted in a number of international, national and regional measures to limit greenhouse gas emissions and additional stricter measures can be expected in the future.</w:t>
      </w:r>
    </w:p>
    <w:p>
      <w:pPr>
        <w:spacing w:after="0" w:line="114" w:lineRule="exact"/>
        <w:rPr>
          <w:sz w:val="20"/>
          <w:szCs w:val="20"/>
          <w:color w:val="auto"/>
        </w:rPr>
      </w:pPr>
    </w:p>
    <w:p>
      <w:pPr>
        <w:jc w:val="both"/>
        <w:ind w:firstLine="479"/>
        <w:spacing w:after="0" w:line="260" w:lineRule="auto"/>
        <w:rPr>
          <w:sz w:val="20"/>
          <w:szCs w:val="20"/>
          <w:color w:val="auto"/>
        </w:rPr>
      </w:pPr>
      <w:r>
        <w:rPr>
          <w:rFonts w:ascii="Times New Roman" w:cs="Times New Roman" w:eastAsia="Times New Roman" w:hAnsi="Times New Roman"/>
          <w:sz w:val="13"/>
          <w:szCs w:val="13"/>
          <w:color w:val="auto"/>
        </w:rPr>
        <w:t>The Kyoto Protocol to the United Nations Framework Convention on Climate Change, or Kyoto Protocol, requires participating countries to implement national programs to reduce emissions of certain gases, generally referred to as greenhouse gases, which contribute to global warming. Currently, the emissions of greenhouse gases from international shipping are not subject to the Kyoto Protocol. However, new treaties may be adopted in the future that include restrictions on shipping emissions. The EU also has indicated that it intends to propose an expansion of the existing ETS to include emissions of greenhouse gases from vessels. In addition, the EPA has begun regulating greenhouse gas emissions under the Clean Air Act and climate change initiatives have been adopted by state and local jurisdictions and are being considered in the U.S. Congress. A consensus agreement reached at the 2015 United Nations Climate Change Conference in Paris and ratified in October 2016 commits participating nations to reduce greenhouse gas emissions with a goal of keeping global temperature increases well below two degrees Celsius, above pre-industrial levels and pursuing efforts to limit the temperature increase to 1.5°C above pre-industrial levels with regular five-year reviews of progress beginning in 2023. National and multilateral efforts to meet these goals could result in reductions in the use of carbon fuels generally, and stricter limits on greenhouse gas emissions from ships in particular. Any passage of climate control legislation or other regulatory initiatives by the IMO, EU, the U.S. or other countries where we operate that restrict emissions of greenhouse gases could have a financial impact on our operations that we cannot predict with certainty at this time. In addition, scientific studies have indicated that increasing concentrations of greenhouse gases in the atmosphere can produce climate changes with significant physical effects, such as increased frequency and severity of storms, floods and other severe weather events that could affect our operations. Increased concern over the effects of climate change may also affect energy strategies and consumption patterns which could adversely affect demand for the marine transport of petroleum and/or LNG products.</w:t>
      </w:r>
    </w:p>
    <w:p>
      <w:pPr>
        <w:spacing w:after="0" w:line="135" w:lineRule="exact"/>
        <w:rPr>
          <w:sz w:val="20"/>
          <w:szCs w:val="20"/>
          <w:color w:val="auto"/>
        </w:rPr>
      </w:pPr>
    </w:p>
    <w:p>
      <w:pPr>
        <w:jc w:val="both"/>
        <w:ind w:firstLine="479"/>
        <w:spacing w:after="0" w:line="231" w:lineRule="auto"/>
        <w:rPr>
          <w:sz w:val="20"/>
          <w:szCs w:val="20"/>
          <w:color w:val="auto"/>
        </w:rPr>
      </w:pPr>
      <w:r>
        <w:rPr>
          <w:rFonts w:ascii="Times New Roman" w:cs="Times New Roman" w:eastAsia="Times New Roman" w:hAnsi="Times New Roman"/>
          <w:sz w:val="13"/>
          <w:szCs w:val="13"/>
          <w:color w:val="auto"/>
        </w:rPr>
        <w:t>IMO continues to contribute to the global fight against climate change, in support of the UN Sustainable Development Goal 13, to take urgent action to combat climate change and its impacts. In 2018, IMO adopted an initial strategy on the reduction of GHG emissions from ships, setting out a vision which confirms IMO’s commitment to reducing GHG emissions from international shipping and to phasing them out as soon as possible. The initial GHG strategy envisages, in particular, a reduction in carbon intensity of international shipping (to reduce 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emissions per transport work, as an average across international shipping, by at least 40% by 2030, pursuing efforts towards 70% by 2050, compared to 2008), and that total annual GHG emissions from international shipping be reduced by at least 50% by 2050 compared to 2008. In June 2021, the IMO adopted extensive new 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regulations applicable to existing ships. The Energy Efficiency Existing Ship Index (“EEXI”) addresses the technical efficiency of ships and the Carbon Intensity Indicator (“CII”) rating scheme addresses the operational efficiency of ships. A ship’s EEXI is a one-time certification and it indicates the ship’s energy efficiency compared to a baseline derived from the ship’s Energy Efficiency Design Index. The calculated attained EEXI value for each individual ship must be below the required EEXI to ensure the ship meets a minimum energy efficiency standard. An energy efficiency certificate is issued when the EEXI is verified, which must be no later than the first annual, intermediate or renewal International Air Pollution Prevention survey or, for ships delivered after January 1, 2023, delivery of the initial International Energy Efficiency certificate. From 2023, the CII requirements took effect for our entire fleet, with the first annual reporting on carbon intensity completed in 2023 and the first rating to be given in 2024. Within 3 months after the end of each calendar year, ships are required to calculate the attained annual operational CII over a 12-month period using data from the IMO Data Collection System and report it to its flag administration or recognized organization who is required to:</w:t>
      </w:r>
    </w:p>
    <w:p>
      <w:pPr>
        <w:spacing w:after="0" w:line="154" w:lineRule="exact"/>
        <w:rPr>
          <w:sz w:val="20"/>
          <w:szCs w:val="20"/>
          <w:color w:val="auto"/>
        </w:rPr>
      </w:pPr>
    </w:p>
    <w:p>
      <w:pPr>
        <w:ind w:left="960" w:hanging="481"/>
        <w:spacing w:after="0"/>
        <w:tabs>
          <w:tab w:leader="none" w:pos="960" w:val="left"/>
        </w:tabs>
        <w:numPr>
          <w:ilvl w:val="0"/>
          <w:numId w:val="5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determine whether the data has been properly reported,</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5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verify the attained annual operational CII,</w:t>
      </w:r>
    </w:p>
    <w:p>
      <w:pPr>
        <w:spacing w:after="0" w:line="169"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83</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84" w:name="page85"/>
    <w:bookmarkEnd w:id="84"/>
    <w:p>
      <w:pPr>
        <w:ind w:left="960" w:hanging="481"/>
        <w:spacing w:after="0"/>
        <w:tabs>
          <w:tab w:leader="none" w:pos="960" w:val="left"/>
        </w:tabs>
        <w:numPr>
          <w:ilvl w:val="0"/>
          <w:numId w:val="6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determine the operational carbon intensity rating (A, B, C, D or E)</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6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issue a Statement of Compliance related to fuel oil consumption reporting and annual operational carbon intensity rating.</w:t>
      </w:r>
    </w:p>
    <w:p>
      <w:pPr>
        <w:spacing w:after="0" w:line="169"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For ships rated as “D” for three consecutive years or rated as “E” for one year, on the subsequent year, the Ship Energy Efficiency Management Plan Part III shall be amended with a plan of corrective actions to achieve the required annual operational CII. The Company has developed procedures and monitoring tools, which are already in place, for effective management of CII implementation. We have obtained all official ratings for the vessels in our fleet.</w:t>
      </w:r>
    </w:p>
    <w:p>
      <w:pPr>
        <w:spacing w:after="0" w:line="127"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Moreover, the MEPC held its 80th session from July 3 to July 7, 2023 and reached consensus on the revision of its Initial IMO Strategy on Reduction of GHG Emissions from Ships and approved the 2023 IMO Strategy on Reduction of GHG Emissions from Ships (the “2023 IMO GHG Reduction Strategy”).</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objectives of 2023 IMO GHG Reduction Strategy are:</w:t>
      </w:r>
    </w:p>
    <w:p>
      <w:pPr>
        <w:spacing w:after="0" w:line="170" w:lineRule="exact"/>
        <w:rPr>
          <w:sz w:val="20"/>
          <w:szCs w:val="20"/>
          <w:color w:val="auto"/>
        </w:rPr>
      </w:pPr>
    </w:p>
    <w:p>
      <w:pPr>
        <w:ind w:left="960" w:hanging="481"/>
        <w:spacing w:after="0"/>
        <w:tabs>
          <w:tab w:leader="none" w:pos="960" w:val="left"/>
        </w:tabs>
        <w:numPr>
          <w:ilvl w:val="0"/>
          <w:numId w:val="6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enhancing IMO’s contribution to global efforts (e.g., the Paris Agreement and United Nations 2030 Agenda for Sustainable Development) to reduce GHG emissions in international shipping;</w:t>
      </w:r>
    </w:p>
    <w:p>
      <w:pPr>
        <w:spacing w:after="0" w:line="169" w:lineRule="exact"/>
        <w:rPr>
          <w:rFonts w:ascii="Arial" w:cs="Arial" w:eastAsia="Arial" w:hAnsi="Arial"/>
          <w:sz w:val="13"/>
          <w:szCs w:val="13"/>
          <w:b w:val="1"/>
          <w:bCs w:val="1"/>
          <w:color w:val="auto"/>
        </w:rPr>
      </w:pPr>
    </w:p>
    <w:p>
      <w:pPr>
        <w:ind w:left="960" w:hanging="481"/>
        <w:spacing w:after="0" w:line="292" w:lineRule="auto"/>
        <w:tabs>
          <w:tab w:leader="none" w:pos="960" w:val="left"/>
        </w:tabs>
        <w:numPr>
          <w:ilvl w:val="0"/>
          <w:numId w:val="6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identifying actions the international shipping sector should implement, while addressing impacts on states and supporting the consistent development of global trade and maritime transport services; and</w:t>
      </w:r>
    </w:p>
    <w:p>
      <w:pPr>
        <w:spacing w:after="0" w:line="114" w:lineRule="exact"/>
        <w:rPr>
          <w:rFonts w:ascii="Arial" w:cs="Arial" w:eastAsia="Arial" w:hAnsi="Arial"/>
          <w:sz w:val="13"/>
          <w:szCs w:val="13"/>
          <w:b w:val="1"/>
          <w:bCs w:val="1"/>
          <w:color w:val="auto"/>
        </w:rPr>
      </w:pPr>
    </w:p>
    <w:p>
      <w:pPr>
        <w:ind w:left="960" w:hanging="481"/>
        <w:spacing w:after="0" w:line="265" w:lineRule="auto"/>
        <w:tabs>
          <w:tab w:leader="none" w:pos="960" w:val="left"/>
        </w:tabs>
        <w:numPr>
          <w:ilvl w:val="0"/>
          <w:numId w:val="6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specifying actions and measures that will contribute to achieving those objectives along with incentives for research and development and monitoring of GHG emissions from international shipping.</w:t>
      </w:r>
    </w:p>
    <w:p>
      <w:pPr>
        <w:spacing w:after="0" w:line="313"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The 2023 IMO GHG Reduction Strategy sets higher goals compared to the Initial IMO Strategy on Reduction of GHG Emissions from Ships. The news goals and indicative checkpoints consider the WtW GHG emissions of marine fuels, as addressed in the guidelines on lifecycle GHG intensity of marine fuels with the overall objective of reducing GHG emissions of international shipping without a shift to other sectors.</w:t>
      </w:r>
    </w:p>
    <w:p>
      <w:pPr>
        <w:spacing w:after="0" w:line="1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new goals of the 2023 IMO GHG Reduction Strategy are as follows:</w:t>
      </w:r>
    </w:p>
    <w:p>
      <w:pPr>
        <w:spacing w:after="0" w:line="170" w:lineRule="exact"/>
        <w:rPr>
          <w:sz w:val="20"/>
          <w:szCs w:val="20"/>
          <w:color w:val="auto"/>
        </w:rPr>
      </w:pPr>
    </w:p>
    <w:p>
      <w:pPr>
        <w:ind w:left="960" w:hanging="481"/>
        <w:spacing w:after="0"/>
        <w:tabs>
          <w:tab w:leader="none" w:pos="96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reducing the carbon intensity of ships through further improvement to the energy efficiency of new ships;</w:t>
      </w:r>
    </w:p>
    <w:p>
      <w:pPr>
        <w:spacing w:after="0" w:line="73" w:lineRule="exact"/>
        <w:rPr>
          <w:rFonts w:ascii="Times New Roman" w:cs="Times New Roman" w:eastAsia="Times New Roman" w:hAnsi="Times New Roman"/>
          <w:sz w:val="13"/>
          <w:szCs w:val="13"/>
          <w:color w:val="auto"/>
        </w:rPr>
      </w:pPr>
    </w:p>
    <w:p>
      <w:pPr>
        <w:ind w:left="960" w:hanging="481"/>
        <w:spacing w:after="0"/>
        <w:tabs>
          <w:tab w:leader="none" w:pos="96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reducing the carbon intensity of international shipping by reducing 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emissions per transport work, as an average across international shipping, by at least 40% by 2030, compared to 2008;</w:t>
      </w:r>
    </w:p>
    <w:p>
      <w:pPr>
        <w:spacing w:after="0" w:line="172" w:lineRule="exact"/>
        <w:rPr>
          <w:rFonts w:ascii="Times New Roman" w:cs="Times New Roman" w:eastAsia="Times New Roman" w:hAnsi="Times New Roman"/>
          <w:sz w:val="13"/>
          <w:szCs w:val="13"/>
          <w:color w:val="auto"/>
        </w:rPr>
      </w:pPr>
    </w:p>
    <w:p>
      <w:pPr>
        <w:ind w:left="960" w:hanging="481"/>
        <w:spacing w:after="0"/>
        <w:tabs>
          <w:tab w:leader="none" w:pos="96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increasing the uptake of zero or near-zero GHG emission technologies, fuels and/or energy sources used by international shipping by at least 5% (and striving for 10%) by 2030; and</w:t>
      </w:r>
    </w:p>
    <w:p>
      <w:pPr>
        <w:spacing w:after="0" w:line="169" w:lineRule="exact"/>
        <w:rPr>
          <w:rFonts w:ascii="Times New Roman" w:cs="Times New Roman" w:eastAsia="Times New Roman" w:hAnsi="Times New Roman"/>
          <w:sz w:val="13"/>
          <w:szCs w:val="13"/>
          <w:color w:val="auto"/>
        </w:rPr>
      </w:pPr>
    </w:p>
    <w:p>
      <w:pPr>
        <w:ind w:left="960" w:hanging="481"/>
        <w:spacing w:after="0"/>
        <w:tabs>
          <w:tab w:leader="none" w:pos="96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reducing GHG emissions from international shipping to net zero by or around 2050, with peak GHG emissions from international shipping occurring as soon as possible.</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In addition, the Committee established two indicative checkpoints to reach net-zero GHG emissions from international shipping:</w:t>
      </w:r>
    </w:p>
    <w:p>
      <w:pPr>
        <w:spacing w:after="0" w:line="170" w:lineRule="exact"/>
        <w:rPr>
          <w:sz w:val="20"/>
          <w:szCs w:val="20"/>
          <w:color w:val="auto"/>
        </w:rPr>
      </w:pPr>
    </w:p>
    <w:p>
      <w:pPr>
        <w:ind w:left="960" w:hanging="481"/>
        <w:spacing w:after="0"/>
        <w:tabs>
          <w:tab w:leader="none" w:pos="96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reducing the total annual GHG emissions from international shipping by at least 20% (striving for 30%) by 2030, compared to 2008; and</w:t>
      </w:r>
    </w:p>
    <w:p>
      <w:pPr>
        <w:spacing w:after="0" w:line="169" w:lineRule="exact"/>
        <w:rPr>
          <w:rFonts w:ascii="Times New Roman" w:cs="Times New Roman" w:eastAsia="Times New Roman" w:hAnsi="Times New Roman"/>
          <w:sz w:val="13"/>
          <w:szCs w:val="13"/>
          <w:color w:val="auto"/>
        </w:rPr>
      </w:pPr>
    </w:p>
    <w:p>
      <w:pPr>
        <w:ind w:left="4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iireducing the total annual GHG emissions from international shipping by at least 70% (striving for 80%) by 2040, compared to 2008.</w:t>
      </w:r>
    </w:p>
    <w:p>
      <w:pPr>
        <w:spacing w:after="0" w:line="170"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84</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46" w:right="319" w:bottom="1440" w:gutter="0" w:footer="0" w:header="0"/>
        </w:sectPr>
      </w:pPr>
    </w:p>
    <w:bookmarkStart w:id="85" w:name="page86"/>
    <w:bookmarkEnd w:id="85"/>
    <w:p>
      <w:pPr>
        <w:ind w:left="480"/>
        <w:spacing w:after="0"/>
        <w:rPr>
          <w:sz w:val="20"/>
          <w:szCs w:val="20"/>
          <w:color w:val="auto"/>
        </w:rPr>
      </w:pPr>
      <w:r>
        <w:rPr>
          <w:rFonts w:ascii="Times New Roman" w:cs="Times New Roman" w:eastAsia="Times New Roman" w:hAnsi="Times New Roman"/>
          <w:sz w:val="13"/>
          <w:szCs w:val="13"/>
          <w:color w:val="auto"/>
        </w:rPr>
        <w:t>The Committee agreed on the following timelines for the candidate measures set out in the 2023 IMO GHG Reduction Strategy:</w:t>
      </w:r>
    </w:p>
    <w:p>
      <w:pPr>
        <w:spacing w:after="0" w:line="170" w:lineRule="exact"/>
        <w:rPr>
          <w:sz w:val="20"/>
          <w:szCs w:val="20"/>
          <w:color w:val="auto"/>
        </w:rPr>
      </w:pPr>
    </w:p>
    <w:p>
      <w:pPr>
        <w:ind w:left="960" w:hanging="481"/>
        <w:spacing w:after="0"/>
        <w:tabs>
          <w:tab w:leader="none" w:pos="960" w:val="left"/>
        </w:tabs>
        <w:numPr>
          <w:ilvl w:val="0"/>
          <w:numId w:val="6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review of the short-term mandatory goal-based technical and operational measures completed by January 1, 2026;</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6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finalize and agree upon mid-term GHG reduction measures by 2025 (other candidate mid-term GHG reduction measures may be finalized and agreed between 2023 and 2030); and</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6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finalize and agree upon long-term GHG reduction measures as part of the 2028 review of the 2023 IMO GHG Reduction Strategy.</w:t>
      </w:r>
    </w:p>
    <w:p>
      <w:pPr>
        <w:spacing w:after="0" w:line="169"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At its 83rd session in April 2025, the MEPC approved the NZF in principle. However, at an extraordinary session in October 2025, formal adoption was deferred following a vote to adjourn for 12 months. Discussions are expected to continue in 2026, alongside the development of implementation guidelines. If adopted, the NZF may impose obligations and result in additional costs for vessel owners and operators, including fuel-intensity requirements (potentially requiring technical upgrades, the use of alternative fuels, and/or operational changes) and compliance mechanisms such as the purchase compliance units or payment a carbon fee, which could increase operating costs. Vessels exceeding targets may receive tradable credits, subject to the final design of the system.</w:t>
      </w:r>
    </w:p>
    <w:p>
      <w:pPr>
        <w:spacing w:after="0" w:line="131"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Our strategy to address the developments outlined in the 2023 IMO GHG Reduction Strategy involves proactive impact assessment of upcoming regulations and timeline adherence. Looking ahead, we anticipate active involvement in the development of long-term measures beyond 2030, aligning with the 2028 review of the 2023 IMO GHG Reduction Strategy. Our approach underscores our commitment to offer value to our stakeholders, environmental stewardship and sustainable maritime practices.</w:t>
      </w:r>
    </w:p>
    <w:p>
      <w:pPr>
        <w:spacing w:after="0" w:line="125" w:lineRule="exact"/>
        <w:rPr>
          <w:sz w:val="20"/>
          <w:szCs w:val="20"/>
          <w:color w:val="auto"/>
        </w:rPr>
      </w:pPr>
    </w:p>
    <w:p>
      <w:pPr>
        <w:ind w:left="480" w:hanging="480"/>
        <w:spacing w:after="0"/>
        <w:tabs>
          <w:tab w:leader="none" w:pos="480" w:val="left"/>
        </w:tabs>
        <w:numPr>
          <w:ilvl w:val="0"/>
          <w:numId w:val="6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Organizational Structure</w:t>
      </w:r>
    </w:p>
    <w:p>
      <w:pPr>
        <w:spacing w:after="0" w:line="172"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We are a corporation organized in the Republic of the Marshall Islands. Please read “Item 4. Information on the Company—A. History and Development of the Company—Developments in 2025” for further information on our conversion from a Marshall Islands limited partnership to a corporation. As of the date of this Annual Report, the Company has 48 subsidiaries which are incorporated in the Marshall Islands, Liberia and Cyprus. Of our subsidiaries, 14 either own or leaseback vessels in our fleet and 16 own vessels under construction. Our subsidiaries are wholly-owned by us. A list of our subsidiaries as of the date of this Annual Report is set forth in Exhibit 8.1 to this Annual Report.</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Please also see Note 1 (Basis of Presentation and General Information) to our Financial Statements for a list of our significant subsidiaries as of December 31, 2025.</w:t>
      </w:r>
    </w:p>
    <w:p>
      <w:pPr>
        <w:spacing w:after="0" w:line="168" w:lineRule="exact"/>
        <w:rPr>
          <w:sz w:val="20"/>
          <w:szCs w:val="20"/>
          <w:color w:val="auto"/>
        </w:rPr>
      </w:pPr>
    </w:p>
    <w:p>
      <w:pPr>
        <w:ind w:left="480" w:hanging="480"/>
        <w:spacing w:after="0"/>
        <w:tabs>
          <w:tab w:leader="none" w:pos="480" w:val="left"/>
        </w:tabs>
        <w:numPr>
          <w:ilvl w:val="0"/>
          <w:numId w:val="6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Property, Plants and Equipment</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Other than our vessels, we do not have any material property. For further details regarding our vessels, including any environmental issues that may affect our utilization of these assets, please read “—B: Business Overview—Our Fleet” and “—Regulation” above. Our obligations under our financing arrangements are secured by all our vessels. For further details regarding our financing arrangements, please read “Item 5. Operating and Financial Review and Prospects—B. Liquidity and Capital Resources—Borrowings (Financing Arrangements).”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4A. Unresolved Staff Comments.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None.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5. Operating and Financial Review and Prospects.</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You should read the following discussion of our financial condition and results of operations in conjunction with our Financial Statements. Among other things, the Financial Statements include more detailed information regarding the basis of presentation for the following information. The Financial Statements have been prepared in accordance with U.S. GAAP and are presented in thousands of U.S. Dollars.</w:t>
      </w:r>
    </w:p>
    <w:p>
      <w:pPr>
        <w:spacing w:after="0" w:line="114"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85</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86" w:name="page87"/>
    <w:bookmarkEnd w:id="86"/>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Following our announcement on November 13, 2023 of our intention to shift our business focus towards LNG and energy transition shipping and gradually divest from our non-core assets, since December 2023 we have completed the sale of 14 legacy container vessels as set forth in the following table.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0" w:type="dxa"/>
            <w:vAlign w:val="bottom"/>
            <w:tcBorders>
              <w:bottom w:val="single" w:sz="8" w:color="CCEEFF"/>
            </w:tcBorders>
            <w:shd w:val="clear" w:color="auto" w:fill="CCEEFF"/>
          </w:tcPr>
          <w:p>
            <w:pPr>
              <w:spacing w:after="0"/>
              <w:rPr>
                <w:sz w:val="13"/>
                <w:szCs w:val="13"/>
                <w:color w:val="auto"/>
              </w:rPr>
            </w:pPr>
          </w:p>
        </w:tc>
        <w:tc>
          <w:tcPr>
            <w:tcW w:w="236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3"/>
                <w:szCs w:val="13"/>
                <w:b w:val="1"/>
                <w:bCs w:val="1"/>
                <w:color w:val="auto"/>
              </w:rPr>
              <w:t>Name of Vessel</w:t>
            </w:r>
          </w:p>
        </w:tc>
        <w:tc>
          <w:tcPr>
            <w:tcW w:w="140" w:type="dxa"/>
            <w:vAlign w:val="bottom"/>
            <w:tcBorders>
              <w:bottom w:val="single" w:sz="8" w:color="CCEEFF"/>
            </w:tcBorders>
            <w:shd w:val="clear" w:color="auto" w:fill="CCEEFF"/>
          </w:tcPr>
          <w:p>
            <w:pPr>
              <w:spacing w:after="0"/>
              <w:rPr>
                <w:sz w:val="13"/>
                <w:szCs w:val="13"/>
                <w:color w:val="auto"/>
              </w:rPr>
            </w:pPr>
          </w:p>
        </w:tc>
        <w:tc>
          <w:tcPr>
            <w:tcW w:w="3120" w:type="dxa"/>
            <w:vAlign w:val="bottom"/>
            <w:tcBorders>
              <w:bottom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3"/>
                <w:szCs w:val="13"/>
                <w:b w:val="1"/>
                <w:bCs w:val="1"/>
                <w:color w:val="auto"/>
              </w:rPr>
              <w:t>Type</w:t>
            </w:r>
          </w:p>
        </w:tc>
        <w:tc>
          <w:tcPr>
            <w:tcW w:w="14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3"/>
                <w:szCs w:val="13"/>
                <w:b w:val="1"/>
                <w:bCs w:val="1"/>
                <w:color w:val="auto"/>
              </w:rPr>
              <w:t>TEU</w:t>
            </w:r>
          </w:p>
        </w:tc>
        <w:tc>
          <w:tcPr>
            <w:tcW w:w="140" w:type="dxa"/>
            <w:vAlign w:val="bottom"/>
            <w:tcBorders>
              <w:bottom w:val="single" w:sz="8" w:color="CCEEFF"/>
            </w:tcBorders>
            <w:shd w:val="clear" w:color="auto" w:fill="CCEEFF"/>
          </w:tcPr>
          <w:p>
            <w:pPr>
              <w:spacing w:after="0"/>
              <w:rPr>
                <w:sz w:val="13"/>
                <w:szCs w:val="13"/>
                <w:color w:val="auto"/>
              </w:rPr>
            </w:pPr>
          </w:p>
        </w:tc>
        <w:tc>
          <w:tcPr>
            <w:tcW w:w="20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Memorandum of Agreement Date</w:t>
            </w:r>
          </w:p>
        </w:tc>
        <w:tc>
          <w:tcPr>
            <w:tcW w:w="140" w:type="dxa"/>
            <w:vAlign w:val="bottom"/>
            <w:tcBorders>
              <w:bottom w:val="single" w:sz="8" w:color="CCEEFF"/>
            </w:tcBorders>
            <w:shd w:val="clear" w:color="auto" w:fill="CCEEFF"/>
          </w:tcPr>
          <w:p>
            <w:pPr>
              <w:spacing w:after="0"/>
              <w:rPr>
                <w:sz w:val="13"/>
                <w:szCs w:val="13"/>
                <w:color w:val="auto"/>
              </w:rPr>
            </w:pPr>
          </w:p>
        </w:tc>
        <w:tc>
          <w:tcPr>
            <w:tcW w:w="21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Delivery/Expected Delivery</w:t>
            </w:r>
          </w:p>
        </w:tc>
        <w:tc>
          <w:tcPr>
            <w:tcW w:w="60" w:type="dxa"/>
            <w:vAlign w:val="bottom"/>
            <w:tcBorders>
              <w:bottom w:val="single" w:sz="8" w:color="CCEEFF"/>
            </w:tcBorders>
            <w:shd w:val="clear" w:color="auto" w:fill="CCEEFF"/>
          </w:tcPr>
          <w:p>
            <w:pPr>
              <w:spacing w:after="0"/>
              <w:rPr>
                <w:sz w:val="13"/>
                <w:szCs w:val="13"/>
                <w:color w:val="auto"/>
              </w:rPr>
            </w:pPr>
          </w:p>
        </w:tc>
      </w:tr>
      <w:tr>
        <w:trPr>
          <w:trHeight w:val="150"/>
        </w:trPr>
        <w:tc>
          <w:tcPr>
            <w:tcW w:w="60" w:type="dxa"/>
            <w:vAlign w:val="bottom"/>
          </w:tcPr>
          <w:p>
            <w:pPr>
              <w:spacing w:after="0"/>
              <w:rPr>
                <w:sz w:val="13"/>
                <w:szCs w:val="13"/>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M/V Akadimos</w:t>
            </w:r>
          </w:p>
        </w:tc>
        <w:tc>
          <w:tcPr>
            <w:tcW w:w="14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Neo Panamax Container Vessel</w:t>
            </w: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9,288</w:t>
            </w:r>
          </w:p>
        </w:tc>
        <w:tc>
          <w:tcPr>
            <w:tcW w:w="140" w:type="dxa"/>
            <w:vAlign w:val="bottom"/>
          </w:tcPr>
          <w:p>
            <w:pPr>
              <w:spacing w:after="0"/>
              <w:rPr>
                <w:sz w:val="13"/>
                <w:szCs w:val="13"/>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3"/>
                <w:szCs w:val="13"/>
                <w:color w:val="auto"/>
              </w:rPr>
              <w:t>January 31, 2024</w:t>
            </w:r>
          </w:p>
        </w:tc>
        <w:tc>
          <w:tcPr>
            <w:tcW w:w="140" w:type="dxa"/>
            <w:vAlign w:val="bottom"/>
          </w:tcPr>
          <w:p>
            <w:pPr>
              <w:spacing w:after="0"/>
              <w:rPr>
                <w:sz w:val="13"/>
                <w:szCs w:val="13"/>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March 8, 2024</w:t>
            </w:r>
          </w:p>
        </w:tc>
      </w:tr>
      <w:tr>
        <w:trPr>
          <w:trHeight w:val="160"/>
        </w:trPr>
        <w:tc>
          <w:tcPr>
            <w:tcW w:w="60" w:type="dxa"/>
            <w:vAlign w:val="bottom"/>
            <w:shd w:val="clear" w:color="auto" w:fill="CCEEFF"/>
          </w:tcPr>
          <w:p>
            <w:pPr>
              <w:spacing w:after="0"/>
              <w:rPr>
                <w:sz w:val="13"/>
                <w:szCs w:val="13"/>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M/V Long Beach Express</w:t>
            </w:r>
          </w:p>
        </w:tc>
        <w:tc>
          <w:tcPr>
            <w:tcW w:w="140" w:type="dxa"/>
            <w:vAlign w:val="bottom"/>
            <w:shd w:val="clear" w:color="auto" w:fill="CCEEFF"/>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Panamax Container Vessel</w:t>
            </w:r>
          </w:p>
        </w:tc>
        <w:tc>
          <w:tcPr>
            <w:tcW w:w="1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5,089</w:t>
            </w:r>
          </w:p>
        </w:tc>
        <w:tc>
          <w:tcPr>
            <w:tcW w:w="14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December 15, 2023</w:t>
            </w:r>
          </w:p>
        </w:tc>
        <w:tc>
          <w:tcPr>
            <w:tcW w:w="14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February 26, 2024</w:t>
            </w:r>
          </w:p>
        </w:tc>
      </w:tr>
      <w:tr>
        <w:trPr>
          <w:trHeight w:val="160"/>
        </w:trPr>
        <w:tc>
          <w:tcPr>
            <w:tcW w:w="60" w:type="dxa"/>
            <w:vAlign w:val="bottom"/>
          </w:tcPr>
          <w:p>
            <w:pPr>
              <w:spacing w:after="0"/>
              <w:rPr>
                <w:sz w:val="13"/>
                <w:szCs w:val="13"/>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M/V Seattle Express</w:t>
            </w:r>
          </w:p>
        </w:tc>
        <w:tc>
          <w:tcPr>
            <w:tcW w:w="14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Panamax Container Vessel</w:t>
            </w: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5,089</w:t>
            </w:r>
          </w:p>
        </w:tc>
        <w:tc>
          <w:tcPr>
            <w:tcW w:w="140" w:type="dxa"/>
            <w:vAlign w:val="bottom"/>
          </w:tcPr>
          <w:p>
            <w:pPr>
              <w:spacing w:after="0"/>
              <w:rPr>
                <w:sz w:val="13"/>
                <w:szCs w:val="13"/>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3"/>
                <w:szCs w:val="13"/>
                <w:color w:val="auto"/>
              </w:rPr>
              <w:t>February 14, 2024</w:t>
            </w:r>
          </w:p>
        </w:tc>
        <w:tc>
          <w:tcPr>
            <w:tcW w:w="140" w:type="dxa"/>
            <w:vAlign w:val="bottom"/>
          </w:tcPr>
          <w:p>
            <w:pPr>
              <w:spacing w:after="0"/>
              <w:rPr>
                <w:sz w:val="13"/>
                <w:szCs w:val="13"/>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April 26, 2024</w:t>
            </w:r>
          </w:p>
        </w:tc>
      </w:tr>
      <w:tr>
        <w:trPr>
          <w:trHeight w:val="160"/>
        </w:trPr>
        <w:tc>
          <w:tcPr>
            <w:tcW w:w="60" w:type="dxa"/>
            <w:vAlign w:val="bottom"/>
            <w:shd w:val="clear" w:color="auto" w:fill="CCEEFF"/>
          </w:tcPr>
          <w:p>
            <w:pPr>
              <w:spacing w:after="0"/>
              <w:rPr>
                <w:sz w:val="13"/>
                <w:szCs w:val="13"/>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M/V Fos Express</w:t>
            </w:r>
          </w:p>
        </w:tc>
        <w:tc>
          <w:tcPr>
            <w:tcW w:w="140" w:type="dxa"/>
            <w:vAlign w:val="bottom"/>
            <w:shd w:val="clear" w:color="auto" w:fill="CCEEFF"/>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Panamax Container Vessel</w:t>
            </w:r>
          </w:p>
        </w:tc>
        <w:tc>
          <w:tcPr>
            <w:tcW w:w="1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5,089</w:t>
            </w:r>
          </w:p>
        </w:tc>
        <w:tc>
          <w:tcPr>
            <w:tcW w:w="14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February 14, 2024</w:t>
            </w:r>
          </w:p>
        </w:tc>
        <w:tc>
          <w:tcPr>
            <w:tcW w:w="14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May 3, 2024</w:t>
            </w:r>
          </w:p>
        </w:tc>
      </w:tr>
      <w:tr>
        <w:trPr>
          <w:trHeight w:val="160"/>
        </w:trPr>
        <w:tc>
          <w:tcPr>
            <w:tcW w:w="60" w:type="dxa"/>
            <w:vAlign w:val="bottom"/>
          </w:tcPr>
          <w:p>
            <w:pPr>
              <w:spacing w:after="0"/>
              <w:rPr>
                <w:sz w:val="13"/>
                <w:szCs w:val="13"/>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M/V Athenian</w:t>
            </w:r>
          </w:p>
        </w:tc>
        <w:tc>
          <w:tcPr>
            <w:tcW w:w="14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Neo Panamax Container Vessel</w:t>
            </w: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9,954</w:t>
            </w:r>
          </w:p>
        </w:tc>
        <w:tc>
          <w:tcPr>
            <w:tcW w:w="140" w:type="dxa"/>
            <w:vAlign w:val="bottom"/>
          </w:tcPr>
          <w:p>
            <w:pPr>
              <w:spacing w:after="0"/>
              <w:rPr>
                <w:sz w:val="13"/>
                <w:szCs w:val="13"/>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3"/>
                <w:szCs w:val="13"/>
                <w:color w:val="auto"/>
              </w:rPr>
              <w:t>March 1, 2024</w:t>
            </w:r>
          </w:p>
        </w:tc>
        <w:tc>
          <w:tcPr>
            <w:tcW w:w="140" w:type="dxa"/>
            <w:vAlign w:val="bottom"/>
          </w:tcPr>
          <w:p>
            <w:pPr>
              <w:spacing w:after="0"/>
              <w:rPr>
                <w:sz w:val="13"/>
                <w:szCs w:val="13"/>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April 22, 2024</w:t>
            </w:r>
          </w:p>
        </w:tc>
      </w:tr>
      <w:tr>
        <w:trPr>
          <w:trHeight w:val="160"/>
        </w:trPr>
        <w:tc>
          <w:tcPr>
            <w:tcW w:w="60" w:type="dxa"/>
            <w:vAlign w:val="bottom"/>
            <w:shd w:val="clear" w:color="auto" w:fill="CCEEFF"/>
          </w:tcPr>
          <w:p>
            <w:pPr>
              <w:spacing w:after="0"/>
              <w:rPr>
                <w:sz w:val="13"/>
                <w:szCs w:val="13"/>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M/V Athos</w:t>
            </w:r>
          </w:p>
        </w:tc>
        <w:tc>
          <w:tcPr>
            <w:tcW w:w="140" w:type="dxa"/>
            <w:vAlign w:val="bottom"/>
            <w:shd w:val="clear" w:color="auto" w:fill="CCEEFF"/>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Neo Panamax Container Vessel</w:t>
            </w:r>
          </w:p>
        </w:tc>
        <w:tc>
          <w:tcPr>
            <w:tcW w:w="1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9,954</w:t>
            </w:r>
          </w:p>
        </w:tc>
        <w:tc>
          <w:tcPr>
            <w:tcW w:w="14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March 1, 2024</w:t>
            </w:r>
          </w:p>
        </w:tc>
        <w:tc>
          <w:tcPr>
            <w:tcW w:w="14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April 22, 2024</w:t>
            </w:r>
          </w:p>
        </w:tc>
      </w:tr>
      <w:tr>
        <w:trPr>
          <w:trHeight w:val="160"/>
        </w:trPr>
        <w:tc>
          <w:tcPr>
            <w:tcW w:w="60" w:type="dxa"/>
            <w:vAlign w:val="bottom"/>
          </w:tcPr>
          <w:p>
            <w:pPr>
              <w:spacing w:after="0"/>
              <w:rPr>
                <w:sz w:val="13"/>
                <w:szCs w:val="13"/>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M/V Aristomenis</w:t>
            </w:r>
          </w:p>
        </w:tc>
        <w:tc>
          <w:tcPr>
            <w:tcW w:w="14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Neo Panamax Container Vessel</w:t>
            </w: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9,954</w:t>
            </w:r>
          </w:p>
        </w:tc>
        <w:tc>
          <w:tcPr>
            <w:tcW w:w="140" w:type="dxa"/>
            <w:vAlign w:val="bottom"/>
          </w:tcPr>
          <w:p>
            <w:pPr>
              <w:spacing w:after="0"/>
              <w:rPr>
                <w:sz w:val="13"/>
                <w:szCs w:val="13"/>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3"/>
                <w:szCs w:val="13"/>
                <w:color w:val="auto"/>
              </w:rPr>
              <w:t>March 1, 2024</w:t>
            </w:r>
          </w:p>
        </w:tc>
        <w:tc>
          <w:tcPr>
            <w:tcW w:w="140" w:type="dxa"/>
            <w:vAlign w:val="bottom"/>
          </w:tcPr>
          <w:p>
            <w:pPr>
              <w:spacing w:after="0"/>
              <w:rPr>
                <w:sz w:val="13"/>
                <w:szCs w:val="13"/>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May 3, 2024</w:t>
            </w:r>
          </w:p>
        </w:tc>
      </w:tr>
      <w:tr>
        <w:trPr>
          <w:trHeight w:val="160"/>
        </w:trPr>
        <w:tc>
          <w:tcPr>
            <w:tcW w:w="60" w:type="dxa"/>
            <w:vAlign w:val="bottom"/>
            <w:shd w:val="clear" w:color="auto" w:fill="CCEEFF"/>
          </w:tcPr>
          <w:p>
            <w:pPr>
              <w:spacing w:after="0"/>
              <w:rPr>
                <w:sz w:val="13"/>
                <w:szCs w:val="13"/>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M/V Hyundai Premium</w:t>
            </w:r>
          </w:p>
        </w:tc>
        <w:tc>
          <w:tcPr>
            <w:tcW w:w="140" w:type="dxa"/>
            <w:vAlign w:val="bottom"/>
            <w:shd w:val="clear" w:color="auto" w:fill="CCEEFF"/>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Neo Panamax Container Vessel</w:t>
            </w:r>
          </w:p>
        </w:tc>
        <w:tc>
          <w:tcPr>
            <w:tcW w:w="1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5,023</w:t>
            </w:r>
          </w:p>
        </w:tc>
        <w:tc>
          <w:tcPr>
            <w:tcW w:w="14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September 12, 2024</w:t>
            </w:r>
          </w:p>
        </w:tc>
        <w:tc>
          <w:tcPr>
            <w:tcW w:w="14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November 22, 2024</w:t>
            </w:r>
          </w:p>
        </w:tc>
      </w:tr>
      <w:tr>
        <w:trPr>
          <w:trHeight w:val="160"/>
        </w:trPr>
        <w:tc>
          <w:tcPr>
            <w:tcW w:w="60" w:type="dxa"/>
            <w:vAlign w:val="bottom"/>
          </w:tcPr>
          <w:p>
            <w:pPr>
              <w:spacing w:after="0"/>
              <w:rPr>
                <w:sz w:val="13"/>
                <w:szCs w:val="13"/>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M/V Hyundai Paramount</w:t>
            </w:r>
          </w:p>
        </w:tc>
        <w:tc>
          <w:tcPr>
            <w:tcW w:w="14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Neo Panamax Container Vessel</w:t>
            </w: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5,023</w:t>
            </w:r>
          </w:p>
        </w:tc>
        <w:tc>
          <w:tcPr>
            <w:tcW w:w="140" w:type="dxa"/>
            <w:vAlign w:val="bottom"/>
          </w:tcPr>
          <w:p>
            <w:pPr>
              <w:spacing w:after="0"/>
              <w:rPr>
                <w:sz w:val="13"/>
                <w:szCs w:val="13"/>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3"/>
                <w:szCs w:val="13"/>
                <w:color w:val="auto"/>
              </w:rPr>
              <w:t>September 12, 2024</w:t>
            </w:r>
          </w:p>
        </w:tc>
        <w:tc>
          <w:tcPr>
            <w:tcW w:w="140" w:type="dxa"/>
            <w:vAlign w:val="bottom"/>
          </w:tcPr>
          <w:p>
            <w:pPr>
              <w:spacing w:after="0"/>
              <w:rPr>
                <w:sz w:val="13"/>
                <w:szCs w:val="13"/>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December 20, 2024</w:t>
            </w:r>
          </w:p>
        </w:tc>
      </w:tr>
      <w:tr>
        <w:trPr>
          <w:trHeight w:val="160"/>
        </w:trPr>
        <w:tc>
          <w:tcPr>
            <w:tcW w:w="60" w:type="dxa"/>
            <w:vAlign w:val="bottom"/>
            <w:shd w:val="clear" w:color="auto" w:fill="CCEEFF"/>
          </w:tcPr>
          <w:p>
            <w:pPr>
              <w:spacing w:after="0"/>
              <w:rPr>
                <w:sz w:val="13"/>
                <w:szCs w:val="13"/>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M/V Hyundai Prestige</w:t>
            </w:r>
          </w:p>
        </w:tc>
        <w:tc>
          <w:tcPr>
            <w:tcW w:w="140" w:type="dxa"/>
            <w:vAlign w:val="bottom"/>
            <w:shd w:val="clear" w:color="auto" w:fill="CCEEFF"/>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Neo Panamax Container Vessel</w:t>
            </w:r>
          </w:p>
        </w:tc>
        <w:tc>
          <w:tcPr>
            <w:tcW w:w="1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5,023</w:t>
            </w:r>
          </w:p>
        </w:tc>
        <w:tc>
          <w:tcPr>
            <w:tcW w:w="14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September 12, 2024</w:t>
            </w:r>
          </w:p>
        </w:tc>
        <w:tc>
          <w:tcPr>
            <w:tcW w:w="14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December 5, 2024</w:t>
            </w:r>
          </w:p>
        </w:tc>
      </w:tr>
      <w:tr>
        <w:trPr>
          <w:trHeight w:val="160"/>
        </w:trPr>
        <w:tc>
          <w:tcPr>
            <w:tcW w:w="60" w:type="dxa"/>
            <w:vAlign w:val="bottom"/>
          </w:tcPr>
          <w:p>
            <w:pPr>
              <w:spacing w:after="0"/>
              <w:rPr>
                <w:sz w:val="13"/>
                <w:szCs w:val="13"/>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M/V Hyundai Privilege</w:t>
            </w:r>
          </w:p>
        </w:tc>
        <w:tc>
          <w:tcPr>
            <w:tcW w:w="14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Neo Panamax Container Vessel</w:t>
            </w: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5,023</w:t>
            </w:r>
          </w:p>
        </w:tc>
        <w:tc>
          <w:tcPr>
            <w:tcW w:w="140" w:type="dxa"/>
            <w:vAlign w:val="bottom"/>
          </w:tcPr>
          <w:p>
            <w:pPr>
              <w:spacing w:after="0"/>
              <w:rPr>
                <w:sz w:val="13"/>
                <w:szCs w:val="13"/>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3"/>
                <w:szCs w:val="13"/>
                <w:color w:val="auto"/>
              </w:rPr>
              <w:t>September 12, 2024</w:t>
            </w:r>
          </w:p>
        </w:tc>
        <w:tc>
          <w:tcPr>
            <w:tcW w:w="140" w:type="dxa"/>
            <w:vAlign w:val="bottom"/>
          </w:tcPr>
          <w:p>
            <w:pPr>
              <w:spacing w:after="0"/>
              <w:rPr>
                <w:sz w:val="13"/>
                <w:szCs w:val="13"/>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January 10, 2025</w:t>
            </w:r>
          </w:p>
        </w:tc>
      </w:tr>
      <w:tr>
        <w:trPr>
          <w:trHeight w:val="160"/>
        </w:trPr>
        <w:tc>
          <w:tcPr>
            <w:tcW w:w="60" w:type="dxa"/>
            <w:vAlign w:val="bottom"/>
            <w:shd w:val="clear" w:color="auto" w:fill="CCEEFF"/>
          </w:tcPr>
          <w:p>
            <w:pPr>
              <w:spacing w:after="0"/>
              <w:rPr>
                <w:sz w:val="13"/>
                <w:szCs w:val="13"/>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M/V Hyundai Platinum</w:t>
            </w:r>
          </w:p>
        </w:tc>
        <w:tc>
          <w:tcPr>
            <w:tcW w:w="140" w:type="dxa"/>
            <w:vAlign w:val="bottom"/>
            <w:shd w:val="clear" w:color="auto" w:fill="CCEEFF"/>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Neo Panamax Container Vessel</w:t>
            </w:r>
          </w:p>
        </w:tc>
        <w:tc>
          <w:tcPr>
            <w:tcW w:w="1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5,023</w:t>
            </w:r>
          </w:p>
        </w:tc>
        <w:tc>
          <w:tcPr>
            <w:tcW w:w="14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September 12, 2024</w:t>
            </w:r>
          </w:p>
        </w:tc>
        <w:tc>
          <w:tcPr>
            <w:tcW w:w="14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March 10, 2025</w:t>
            </w:r>
          </w:p>
        </w:tc>
      </w:tr>
      <w:tr>
        <w:trPr>
          <w:trHeight w:val="160"/>
        </w:trPr>
        <w:tc>
          <w:tcPr>
            <w:tcW w:w="60" w:type="dxa"/>
            <w:vAlign w:val="bottom"/>
          </w:tcPr>
          <w:p>
            <w:pPr>
              <w:spacing w:after="0"/>
              <w:rPr>
                <w:sz w:val="13"/>
                <w:szCs w:val="13"/>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M/V Manzanillo Express</w:t>
            </w:r>
          </w:p>
        </w:tc>
        <w:tc>
          <w:tcPr>
            <w:tcW w:w="14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Neo Panamax Container Vessel</w:t>
            </w: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13,312</w:t>
            </w:r>
          </w:p>
        </w:tc>
        <w:tc>
          <w:tcPr>
            <w:tcW w:w="140" w:type="dxa"/>
            <w:vAlign w:val="bottom"/>
          </w:tcPr>
          <w:p>
            <w:pPr>
              <w:spacing w:after="0"/>
              <w:rPr>
                <w:sz w:val="13"/>
                <w:szCs w:val="13"/>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3"/>
                <w:szCs w:val="13"/>
                <w:color w:val="auto"/>
              </w:rPr>
              <w:t>August 7, 2025</w:t>
            </w:r>
          </w:p>
        </w:tc>
        <w:tc>
          <w:tcPr>
            <w:tcW w:w="140" w:type="dxa"/>
            <w:vAlign w:val="bottom"/>
          </w:tcPr>
          <w:p>
            <w:pPr>
              <w:spacing w:after="0"/>
              <w:rPr>
                <w:sz w:val="13"/>
                <w:szCs w:val="13"/>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October 6, 2025</w:t>
            </w:r>
          </w:p>
        </w:tc>
      </w:tr>
      <w:tr>
        <w:trPr>
          <w:trHeight w:val="160"/>
        </w:trPr>
        <w:tc>
          <w:tcPr>
            <w:tcW w:w="60" w:type="dxa"/>
            <w:vAlign w:val="bottom"/>
            <w:shd w:val="clear" w:color="auto" w:fill="CCEEFF"/>
          </w:tcPr>
          <w:p>
            <w:pPr>
              <w:spacing w:after="0"/>
              <w:rPr>
                <w:sz w:val="13"/>
                <w:szCs w:val="13"/>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M/V Buenaventura Express</w:t>
            </w:r>
          </w:p>
        </w:tc>
        <w:tc>
          <w:tcPr>
            <w:tcW w:w="140" w:type="dxa"/>
            <w:vAlign w:val="bottom"/>
            <w:shd w:val="clear" w:color="auto" w:fill="CCEEFF"/>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Neo Panamax Container Vessel</w:t>
            </w:r>
          </w:p>
        </w:tc>
        <w:tc>
          <w:tcPr>
            <w:tcW w:w="1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13,696</w:t>
            </w:r>
          </w:p>
        </w:tc>
        <w:tc>
          <w:tcPr>
            <w:tcW w:w="14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October 29, 2025</w:t>
            </w:r>
          </w:p>
        </w:tc>
        <w:tc>
          <w:tcPr>
            <w:tcW w:w="14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January 19, 2026</w:t>
            </w:r>
          </w:p>
        </w:tc>
      </w:tr>
    </w:tbl>
    <w:p>
      <w:pPr>
        <w:spacing w:after="0" w:line="307"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We determined that the assets and liabilities, results of operations and cash flows of these 14 legacy container vessels met the criteria to be reported in discontinued operations. As a result, in this Annual Report and the accompanying Financial Statements, these 14 legacy container vessels are reported as discontinued operations for all periods presented. See Note 3 (Discontinued Operations) to our Financial Statements included herein. The one legacy container vessel that remains in our on-the-water fleet, the M/V Itajai Express, continues to be reported in our continuing operations. The following financial information and discussion relate to results of operations from continuing operations. Please also refer to Note 3 (Discontinued Operations) in our audited consolidated financial statements for the year ended December 31, 2025 and 2024 included elsewhere herein.</w:t>
      </w:r>
    </w:p>
    <w:p>
      <w:pPr>
        <w:spacing w:after="0" w:line="131" w:lineRule="exact"/>
        <w:rPr>
          <w:sz w:val="20"/>
          <w:szCs w:val="20"/>
          <w:color w:val="auto"/>
        </w:rPr>
      </w:pPr>
    </w:p>
    <w:p>
      <w:pPr>
        <w:jc w:val="both"/>
        <w:ind w:firstLine="479"/>
        <w:spacing w:after="0" w:line="269" w:lineRule="auto"/>
        <w:rPr>
          <w:sz w:val="20"/>
          <w:szCs w:val="20"/>
          <w:color w:val="auto"/>
        </w:rPr>
      </w:pPr>
      <w:r>
        <w:rPr>
          <w:rFonts w:ascii="Times New Roman" w:cs="Times New Roman" w:eastAsia="Times New Roman" w:hAnsi="Times New Roman"/>
          <w:sz w:val="13"/>
          <w:szCs w:val="13"/>
          <w:i w:val="1"/>
          <w:iCs w:val="1"/>
          <w:color w:val="auto"/>
        </w:rPr>
        <w:t>The following discussion contains forward-looking statements that are made based upon management’s current plans, expectations, estimates, assumptions and beliefs concerning future events impacting us and therefore involve a number of risks and uncertainties, including those risks and uncertainties discussed in “Item 3. Key Information—D. Risk Factors” These risks, uncertainties and assumptions involve known and unknown risks and are inherently subject to significant uncertainties and contingencies, many of which are beyond our control. Forward-looking statements are not guarantees and actual results could differ materially from those expressed or implied in the forward-looking statements. See “Forward-Looking Statements” above.</w:t>
      </w:r>
    </w:p>
    <w:p>
      <w:pPr>
        <w:spacing w:after="0" w:line="128" w:lineRule="exact"/>
        <w:rPr>
          <w:sz w:val="20"/>
          <w:szCs w:val="20"/>
          <w:color w:val="auto"/>
        </w:rPr>
      </w:pPr>
    </w:p>
    <w:p>
      <w:pPr>
        <w:ind w:left="480" w:hanging="480"/>
        <w:spacing w:after="0"/>
        <w:tabs>
          <w:tab w:leader="none" w:pos="480" w:val="left"/>
        </w:tabs>
        <w:numPr>
          <w:ilvl w:val="0"/>
          <w:numId w:val="6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Operating Results Overview</w:t>
      </w:r>
    </w:p>
    <w:p>
      <w:pPr>
        <w:spacing w:after="0" w:line="171" w:lineRule="exact"/>
        <w:rPr>
          <w:rFonts w:ascii="Times New Roman" w:cs="Times New Roman" w:eastAsia="Times New Roman" w:hAnsi="Times New Roman"/>
          <w:sz w:val="13"/>
          <w:szCs w:val="13"/>
          <w:b w:val="1"/>
          <w:bCs w:val="1"/>
          <w:color w:val="auto"/>
        </w:rPr>
      </w:pPr>
    </w:p>
    <w:p>
      <w:pPr>
        <w:ind w:left="48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We are an international owner of ocean-going vessels.</w:t>
      </w:r>
    </w:p>
    <w:p>
      <w:pPr>
        <w:spacing w:after="0" w:line="169" w:lineRule="exact"/>
        <w:rPr>
          <w:rFonts w:ascii="Times New Roman" w:cs="Times New Roman" w:eastAsia="Times New Roman" w:hAnsi="Times New Roman"/>
          <w:sz w:val="13"/>
          <w:szCs w:val="13"/>
          <w:b w:val="1"/>
          <w:bCs w:val="1"/>
          <w:color w:val="auto"/>
        </w:rPr>
      </w:pPr>
    </w:p>
    <w:p>
      <w:pPr>
        <w:ind w:left="48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We were organized in January 2007 by Capital Maritime, an international shipping company with a long history of operating and investing in the shipping market.</w:t>
      </w:r>
    </w:p>
    <w:p>
      <w:pPr>
        <w:spacing w:after="0" w:line="170"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Our primary business objective is to maximize value for our shareholders by growing our business, subject to shipping and charter market developments and our ability to obtain required financing and access to financial markets.</w:t>
      </w:r>
    </w:p>
    <w:p>
      <w:pPr>
        <w:spacing w:after="0" w:line="114"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We seek to rely on medium- to long-term, fixed-rate period charters for the majority of our fleet and our Managers’ cost-efficient management of our vessels to provide visibility of revenues, earnings and dividends in the medium- to long-term. As our vessels come up for re-chartering, we seek to redeploy them on terms that reflect our expectations of the market conditions prevailing at the time.</w:t>
      </w:r>
    </w:p>
    <w:p>
      <w:pPr>
        <w:spacing w:after="0" w:line="114"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86</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87" w:name="page88"/>
    <w:bookmarkEnd w:id="87"/>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We intend to further evaluate potential opportunities to acquire both newly built and second-hand vessels from Capital Maritime and its affiliates or third parties (including, potentially, through the acquisition of, or combination with, other shipping businesses) in a prudent manner that is accretive to our shareholders and long-term distribution cash flow growth, subject to approval of our board of directors, overall market conditions and our ability to obtain required financing and access financial markets.</w:t>
      </w:r>
    </w:p>
    <w:p>
      <w:pPr>
        <w:spacing w:after="0" w:line="127" w:lineRule="exact"/>
        <w:rPr>
          <w:sz w:val="20"/>
          <w:szCs w:val="20"/>
          <w:color w:val="auto"/>
        </w:rPr>
      </w:pPr>
    </w:p>
    <w:p>
      <w:pPr>
        <w:jc w:val="both"/>
        <w:ind w:firstLine="479"/>
        <w:spacing w:after="0"/>
        <w:rPr>
          <w:sz w:val="20"/>
          <w:szCs w:val="20"/>
          <w:color w:val="auto"/>
        </w:rPr>
      </w:pPr>
      <w:r>
        <w:rPr>
          <w:rFonts w:ascii="Times New Roman" w:cs="Times New Roman" w:eastAsia="Times New Roman" w:hAnsi="Times New Roman"/>
          <w:sz w:val="13"/>
          <w:szCs w:val="13"/>
          <w:color w:val="auto"/>
        </w:rPr>
        <w:t>In connection with the Umbrella Agreement, we have agreed with Capital Maritime and CGP LLC to change our business focus to concentrate on the LNG/C market. As part of this change in business focus, and pursuant to the Umbrella Agreement, we have disposed of all of our legacy container carrier vessels, except for the M/V Itajai Express and committed to abstain from acquiring additional container vessels. In addition to our commitment to concentrate our business on the LNG/C market, we also expect to focus on the LPG carriage market and the wider energy transition gas market. While we have taken significant steps to change our business focus to concentrate on the LNG/C market, the LPG carriage market and the wider energy transition gas market such as the carriage of low carbon ammonia and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we can provide no assurances that in the future we will not return to the container market or the dry bulk market, or that we will not explore additional shipping markets beyond the LNG/C and the LPG carriage markets. We can also provide no assurances as to whether or when we will complete the disposition of our legacy container vessel. See “Item 3. Key Information—D. Risk Factors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Risks Related to Our Business and Operations—</w:t>
      </w:r>
      <w:r>
        <w:rPr>
          <w:rFonts w:ascii="Times New Roman" w:cs="Times New Roman" w:eastAsia="Times New Roman" w:hAnsi="Times New Roman"/>
          <w:sz w:val="13"/>
          <w:szCs w:val="13"/>
          <w:i w:val="1"/>
          <w:iCs w:val="1"/>
          <w:color w:val="auto"/>
        </w:rPr>
        <w:t>We may not realize the benefits anticipated from our change in business focus to concentrate on the LNG/C market, the LPG carriage market and the wider energy transition gas market, which</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could adversely affect the value of our securities</w:t>
      </w:r>
      <w:r>
        <w:rPr>
          <w:rFonts w:ascii="Times New Roman" w:cs="Times New Roman" w:eastAsia="Times New Roman" w:hAnsi="Times New Roman"/>
          <w:sz w:val="13"/>
          <w:szCs w:val="13"/>
          <w:color w:val="auto"/>
        </w:rPr>
        <w:t>” above.</w:t>
      </w:r>
    </w:p>
    <w:p>
      <w:pPr>
        <w:spacing w:after="0" w:line="148"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We generally rely on external financing sources, including bank borrowings and sale-leaseback arrangements and, depending on market conditions, the issuance of debt and equity securities, to fund the acquisition of new vessels. See “—B. Liquidity and Capital Resources” below.</w:t>
      </w:r>
    </w:p>
    <w:p>
      <w:pPr>
        <w:spacing w:after="0" w:line="11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As of December 31, 2025, the Marinakis family, including Evangelos M. Marinakis, the chairman of Capital Maritime, our sponsor, may be deemed to beneficially own 58.7% of our common shares through, among others, Capital Maritime, Capital Gas and CGP LLC.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Charters</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We generate revenues by charging our charterers for the use of our vessels.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Historically, our vessels were chartered under time or bareboat charter agreements. As of December 31, 2025, all of our on-the-water vessels were employed under either time or bareboat charters.</w:t>
      </w:r>
    </w:p>
    <w:p>
      <w:pPr>
        <w:spacing w:after="0" w:line="170"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Our on-the-water vessels are currently under contracts with BGT, BP, Cheniere, Engie, Hapag-Lloyd, Hartree, Jera, Qatar Energy Trading, Tokyo Gas and Geogas and one on-the-water vessel has secured employment with BGN INT DMCC to commence in the first quarter of 2027.</w:t>
      </w:r>
    </w:p>
    <w:p>
      <w:pPr>
        <w:spacing w:after="0" w:line="114"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The loss of, default by or restructuring of any significant charterer or a substantial decline in the amount of services requested by a significant charterer could harm our business, financial condition and results of operations. Please read “Item 3. Key Information—D. Risk Factors—Risks Related to Our Business and Operations—</w:t>
      </w:r>
      <w:r>
        <w:rPr>
          <w:rFonts w:ascii="Times New Roman" w:cs="Times New Roman" w:eastAsia="Times New Roman" w:hAnsi="Times New Roman"/>
          <w:sz w:val="13"/>
          <w:szCs w:val="13"/>
          <w:i w:val="1"/>
          <w:iCs w:val="1"/>
          <w:color w:val="auto"/>
        </w:rPr>
        <w:t>We currently derive all of our revenues from a limited number of charterers and the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loss of any charterer or charter could result in a significant loss of revenues and cash flows.</w:t>
      </w:r>
      <w:r>
        <w:rPr>
          <w:rFonts w:ascii="Times New Roman" w:cs="Times New Roman" w:eastAsia="Times New Roman" w:hAnsi="Times New Roman"/>
          <w:sz w:val="13"/>
          <w:szCs w:val="13"/>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Factors Affecting Our Future Results of Operations</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We believe that the principal factors affecting our future results of operations are the economic, regulatory, financial, credit, political and governmental conditions prevailing in the shipping industry generally and in the countries and markets in which our vessels are chartered.</w:t>
      </w:r>
    </w:p>
    <w:p>
      <w:pPr>
        <w:spacing w:after="0" w:line="18" w:lineRule="exact"/>
        <w:rPr>
          <w:sz w:val="20"/>
          <w:szCs w:val="20"/>
          <w:color w:val="auto"/>
        </w:rPr>
      </w:pPr>
    </w:p>
    <w:p>
      <w:pPr>
        <w:jc w:val="both"/>
        <w:ind w:firstLine="479"/>
        <w:spacing w:after="0" w:line="222" w:lineRule="auto"/>
        <w:rPr>
          <w:sz w:val="20"/>
          <w:szCs w:val="20"/>
          <w:color w:val="auto"/>
        </w:rPr>
      </w:pPr>
      <w:r>
        <w:rPr>
          <w:rFonts w:ascii="Times New Roman" w:cs="Times New Roman" w:eastAsia="Times New Roman" w:hAnsi="Times New Roman"/>
          <w:sz w:val="13"/>
          <w:szCs w:val="13"/>
          <w:color w:val="auto"/>
        </w:rPr>
        <w:t>As of the date of this Annual Report, we are exposed to the LNG/C market to a significant extent, since our fleet is comprised of 12 LNG/C vessels, one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 HMG/C vessel and one legacy container carrier vessel. In addition, our Under Construction Fleet includes nine additional latest generation LNG/C vessels, six dual-fuel MG/Cs and three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 HMG/C vessels, to be delivered between the second quarter of 2026 and the first quarter of 2029.</w:t>
      </w:r>
    </w:p>
    <w:p>
      <w:pPr>
        <w:spacing w:after="0" w:line="149"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87</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3"/>
          <w:szCs w:val="13"/>
          <w:color w:val="auto"/>
        </w:rPr>
        <w:t>As the vessels in our Gas Fleet are delivered to the Company, our exposure to the LPG carriage and the wider energy transition gas markets will increase.</w:t>
      </w:r>
    </w:p>
    <w:p>
      <w:pPr>
        <w:spacing w:after="0" w:line="170"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The world economy has experienced significant economic and political upheavals in recent history. Protectionist trends, efforts by central banks to address increased inflation, global growth and demand for the seaborne transportation of goods, including liquefied natural gas and containerized goods and overcapacity and deliveries of newly built vessels may affect the shipping industry in general and our business, financial condition, results of operations and cash flows in particular.</w:t>
      </w:r>
    </w:p>
    <w:p>
      <w:pPr>
        <w:spacing w:after="0" w:line="1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Some of the key factors that may affect our business, future financial condition, results of operations and cash flow include the following:</w:t>
      </w:r>
    </w:p>
    <w:p>
      <w:pPr>
        <w:spacing w:after="0" w:line="170" w:lineRule="exact"/>
        <w:rPr>
          <w:sz w:val="20"/>
          <w:szCs w:val="20"/>
          <w:color w:val="auto"/>
        </w:rPr>
      </w:pPr>
    </w:p>
    <w:p>
      <w:pPr>
        <w:ind w:left="960" w:hanging="481"/>
        <w:spacing w:after="0"/>
        <w:tabs>
          <w:tab w:leader="none" w:pos="960" w:val="left"/>
        </w:tabs>
        <w:numPr>
          <w:ilvl w:val="0"/>
          <w:numId w:val="6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supply and demand for LNG, LPG, ammonia and containerized goods;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6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supply and orderbook of vessels, including, LNG/C, LPG carrier and container vessels;</w:t>
      </w:r>
    </w:p>
    <w:p>
      <w:pPr>
        <w:spacing w:after="0" w:line="72" w:lineRule="exact"/>
        <w:rPr>
          <w:rFonts w:ascii="Arial" w:cs="Arial" w:eastAsia="Arial" w:hAnsi="Arial"/>
          <w:sz w:val="13"/>
          <w:szCs w:val="13"/>
          <w:b w:val="1"/>
          <w:bCs w:val="1"/>
          <w:color w:val="auto"/>
        </w:rPr>
      </w:pPr>
    </w:p>
    <w:p>
      <w:pPr>
        <w:ind w:left="960" w:hanging="481"/>
        <w:spacing w:after="0"/>
        <w:tabs>
          <w:tab w:leader="none" w:pos="960" w:val="left"/>
        </w:tabs>
        <w:numPr>
          <w:ilvl w:val="0"/>
          <w:numId w:val="6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progress of development of large-scale markets for the carriage of low carbon ammonia and LCO</w:t>
      </w:r>
      <w:r>
        <w:rPr>
          <w:rFonts w:ascii="Times New Roman" w:cs="Times New Roman" w:eastAsia="Times New Roman" w:hAnsi="Times New Roman"/>
          <w:sz w:val="22"/>
          <w:szCs w:val="22"/>
          <w:color w:val="auto"/>
          <w:vertAlign w:val="subscript"/>
        </w:rPr>
        <w:t>2</w:t>
      </w:r>
    </w:p>
    <w:p>
      <w:pPr>
        <w:spacing w:after="0" w:line="172" w:lineRule="exact"/>
        <w:rPr>
          <w:rFonts w:ascii="Arial" w:cs="Arial" w:eastAsia="Arial" w:hAnsi="Arial"/>
          <w:sz w:val="13"/>
          <w:szCs w:val="13"/>
          <w:b w:val="1"/>
          <w:bCs w:val="1"/>
          <w:color w:val="auto"/>
        </w:rPr>
      </w:pPr>
    </w:p>
    <w:p>
      <w:pPr>
        <w:ind w:left="960" w:hanging="481"/>
        <w:spacing w:after="0"/>
        <w:tabs>
          <w:tab w:leader="none" w:pos="960" w:val="left"/>
        </w:tabs>
        <w:numPr>
          <w:ilvl w:val="0"/>
          <w:numId w:val="6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continuing demand for goods from China, India and Brazil and other emerging markets and developments in international trade including threats and/or imposition of trade tariffs;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6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time charter hire levels and our ability to enter our vessels into long-term charters at competitive rates as their current charters expire;</w:t>
      </w:r>
    </w:p>
    <w:p>
      <w:pPr>
        <w:spacing w:after="0" w:line="169" w:lineRule="exact"/>
        <w:rPr>
          <w:rFonts w:ascii="Arial" w:cs="Arial" w:eastAsia="Arial" w:hAnsi="Arial"/>
          <w:sz w:val="13"/>
          <w:szCs w:val="13"/>
          <w:b w:val="1"/>
          <w:bCs w:val="1"/>
          <w:color w:val="auto"/>
        </w:rPr>
      </w:pPr>
    </w:p>
    <w:p>
      <w:pPr>
        <w:ind w:left="960" w:hanging="481"/>
        <w:spacing w:after="0" w:line="265" w:lineRule="auto"/>
        <w:tabs>
          <w:tab w:leader="none" w:pos="960" w:val="left"/>
        </w:tabs>
        <w:numPr>
          <w:ilvl w:val="0"/>
          <w:numId w:val="6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impact of the international conflicts, including the conflicts between Russia and Ukraine and in the Middle East, on the global economy in general, and on the oil and gas industry in particular;</w:t>
      </w:r>
    </w:p>
    <w:p>
      <w:pPr>
        <w:spacing w:after="0" w:line="313" w:lineRule="exact"/>
        <w:rPr>
          <w:rFonts w:ascii="Arial" w:cs="Arial" w:eastAsia="Arial" w:hAnsi="Arial"/>
          <w:sz w:val="13"/>
          <w:szCs w:val="13"/>
          <w:b w:val="1"/>
          <w:bCs w:val="1"/>
          <w:color w:val="auto"/>
        </w:rPr>
      </w:pPr>
    </w:p>
    <w:p>
      <w:pPr>
        <w:ind w:left="960" w:hanging="481"/>
        <w:spacing w:after="0"/>
        <w:tabs>
          <w:tab w:leader="none" w:pos="960" w:val="left"/>
        </w:tabs>
        <w:numPr>
          <w:ilvl w:val="0"/>
          <w:numId w:val="6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our ability to comply with the covenants in our financing arrangements, including covenants relating to the maintenance of vessel value ratios;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6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developments in vessel values, which might affect our ability to comply with certain covenants under our financing arrangements and/or refinance our debt;</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6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relationships and reputations of our Managers and Capital Maritime in the shipping industry;</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6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effective and efficient technical management of our vessels;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6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strength of and growth in the number of our customer relationships;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6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continued and consistent support from our Managers at comparable rates;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6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prevailing spot market rates and the number of our vessels which we may operate in the spot market;</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6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our level of debt and the related interest expense and amortization of principal, including the impact of increased interest rates on our floating rate debt;</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6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ability to increase the size of our fleet and make additional acquisitions that are accretive to our shareholders;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6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our access to debt and equity financing, and the cost of capital required to acquire additional vessels or to implement our business strategy;</w:t>
      </w:r>
    </w:p>
    <w:p>
      <w:pPr>
        <w:spacing w:after="0" w:line="169"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88</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89" w:name="page90"/>
    <w:bookmarkEnd w:id="89"/>
    <w:p>
      <w:pPr>
        <w:ind w:left="960" w:hanging="481"/>
        <w:spacing w:after="0"/>
        <w:tabs>
          <w:tab w:leader="none" w:pos="960" w:val="left"/>
        </w:tabs>
        <w:numPr>
          <w:ilvl w:val="0"/>
          <w:numId w:val="6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our ability to comply with maritime regulations and standards, including new environmental regulations and standards, and the costs associated therewith;</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6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costs associated with upcoming dry-docking of our vessels; and</w:t>
      </w:r>
    </w:p>
    <w:p>
      <w:pPr>
        <w:spacing w:after="0" w:line="169" w:lineRule="exact"/>
        <w:rPr>
          <w:rFonts w:ascii="Arial" w:cs="Arial" w:eastAsia="Arial" w:hAnsi="Arial"/>
          <w:sz w:val="13"/>
          <w:szCs w:val="13"/>
          <w:b w:val="1"/>
          <w:bCs w:val="1"/>
          <w:color w:val="auto"/>
        </w:rPr>
      </w:pPr>
    </w:p>
    <w:p>
      <w:pPr>
        <w:ind w:left="480" w:right="1600" w:hanging="1"/>
        <w:spacing w:after="0" w:line="510" w:lineRule="auto"/>
        <w:tabs>
          <w:tab w:leader="none" w:pos="959" w:val="left"/>
        </w:tabs>
        <w:numPr>
          <w:ilvl w:val="0"/>
          <w:numId w:val="6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regulatory developments, including the imposition of tariffs or penalties on vessels calling in key export or import ports such as the United States, EU and/or China. Please read “Item 3. Key Information—D. Risk Factors” for a discussion of certain risks inherent in our business.</w:t>
      </w:r>
    </w:p>
    <w:p>
      <w:pPr>
        <w:spacing w:after="0"/>
        <w:rPr>
          <w:sz w:val="20"/>
          <w:szCs w:val="20"/>
          <w:color w:val="auto"/>
        </w:rPr>
      </w:pPr>
      <w:r>
        <w:rPr>
          <w:rFonts w:ascii="Times New Roman" w:cs="Times New Roman" w:eastAsia="Times New Roman" w:hAnsi="Times New Roman"/>
          <w:sz w:val="13"/>
          <w:szCs w:val="13"/>
          <w:b w:val="1"/>
          <w:bCs w:val="1"/>
          <w:color w:val="auto"/>
        </w:rPr>
        <w:t>Factors to Consider When Evaluating Our Results</w:t>
      </w:r>
    </w:p>
    <w:p>
      <w:pPr>
        <w:spacing w:after="0" w:line="172" w:lineRule="exact"/>
        <w:rPr>
          <w:sz w:val="20"/>
          <w:szCs w:val="20"/>
          <w:color w:val="auto"/>
        </w:rPr>
      </w:pPr>
    </w:p>
    <w:p>
      <w:pPr>
        <w:jc w:val="both"/>
        <w:ind w:firstLine="479"/>
        <w:spacing w:after="0" w:line="226" w:lineRule="auto"/>
        <w:rPr>
          <w:sz w:val="20"/>
          <w:szCs w:val="20"/>
          <w:color w:val="auto"/>
        </w:rPr>
      </w:pPr>
      <w:r>
        <w:rPr>
          <w:rFonts w:ascii="Times New Roman" w:cs="Times New Roman" w:eastAsia="Times New Roman" w:hAnsi="Times New Roman"/>
          <w:sz w:val="13"/>
          <w:szCs w:val="13"/>
          <w:color w:val="auto"/>
        </w:rPr>
        <w:t>We believe it is important to consider the size and type of the vessels in our fleet when evaluating our results of operations. We have agreed to acquire nine additional latest generation LNG/C vessels, six dual-fuel MG/C vessels and three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 HMG/C vessels, to be delivered to the Company between the second quarter of 2026 and the first quarter of 2029. The weighted average number of vessels in our continuing operations on-the-water fleet increased by 1.3 vessels during the year 2025 compared to the year 2024. As our fleet grows or as we dispose of our vessels, our results of operations reflect the contribution to revenue of, and the expenses associated with, a varying number of vessels over time, which may affect the comparability of our results year-on-year.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Results of Operations</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We have derived the following selected historical financial data for the years ended December 31, 2025, 2024 and 2023 from our Financial Statements. The table below should be read together with, and is qualified in its entirety by reference to, the Financial Statements. Our Financial Statements are prepared in accordance with United States generally accepted accounting principles (“U.S. GAAP”) as described in Note 2 (Significant Accounting Policies) to the Financial Statements. All numbers are in thousands of U.S. Dollars.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960" w:type="dxa"/>
            <w:vAlign w:val="bottom"/>
          </w:tcPr>
          <w:p>
            <w:pPr>
              <w:jc w:val="right"/>
              <w:ind w:right="294"/>
              <w:spacing w:after="0"/>
              <w:rPr>
                <w:sz w:val="20"/>
                <w:szCs w:val="20"/>
                <w:color w:val="auto"/>
              </w:rPr>
            </w:pPr>
            <w:r>
              <w:rPr>
                <w:rFonts w:ascii="Times New Roman" w:cs="Times New Roman" w:eastAsia="Times New Roman" w:hAnsi="Times New Roman"/>
                <w:sz w:val="12"/>
                <w:szCs w:val="12"/>
                <w:b w:val="1"/>
                <w:bCs w:val="1"/>
                <w:color w:val="auto"/>
              </w:rPr>
              <w:t>2025</w:t>
            </w:r>
          </w:p>
        </w:tc>
        <w:tc>
          <w:tcPr>
            <w:tcW w:w="360" w:type="dxa"/>
            <w:vAlign w:val="bottom"/>
          </w:tcPr>
          <w:p>
            <w:pPr>
              <w:spacing w:after="0"/>
              <w:rPr>
                <w:sz w:val="13"/>
                <w:szCs w:val="13"/>
                <w:color w:val="auto"/>
              </w:rPr>
            </w:pPr>
          </w:p>
        </w:tc>
        <w:tc>
          <w:tcPr>
            <w:tcW w:w="940" w:type="dxa"/>
            <w:vAlign w:val="bottom"/>
          </w:tcPr>
          <w:p>
            <w:pPr>
              <w:jc w:val="right"/>
              <w:ind w:right="274"/>
              <w:spacing w:after="0"/>
              <w:rPr>
                <w:sz w:val="20"/>
                <w:szCs w:val="20"/>
                <w:color w:val="auto"/>
              </w:rPr>
            </w:pPr>
            <w:r>
              <w:rPr>
                <w:rFonts w:ascii="Times New Roman" w:cs="Times New Roman" w:eastAsia="Times New Roman" w:hAnsi="Times New Roman"/>
                <w:sz w:val="12"/>
                <w:szCs w:val="12"/>
                <w:b w:val="1"/>
                <w:bCs w:val="1"/>
                <w:color w:val="auto"/>
              </w:rPr>
              <w:t>2024</w:t>
            </w:r>
          </w:p>
        </w:tc>
        <w:tc>
          <w:tcPr>
            <w:tcW w:w="720" w:type="dxa"/>
            <w:vAlign w:val="bottom"/>
            <w:gridSpan w:val="2"/>
          </w:tcPr>
          <w:p>
            <w:pPr>
              <w:jc w:val="right"/>
              <w:ind w:right="53"/>
              <w:spacing w:after="0"/>
              <w:rPr>
                <w:sz w:val="20"/>
                <w:szCs w:val="20"/>
                <w:color w:val="auto"/>
              </w:rPr>
            </w:pPr>
            <w:r>
              <w:rPr>
                <w:rFonts w:ascii="Times New Roman" w:cs="Times New Roman" w:eastAsia="Times New Roman" w:hAnsi="Times New Roman"/>
                <w:sz w:val="12"/>
                <w:szCs w:val="12"/>
                <w:b w:val="1"/>
                <w:bCs w:val="1"/>
                <w:color w:val="auto"/>
              </w:rPr>
              <w:t>2023</w:t>
            </w:r>
          </w:p>
        </w:tc>
        <w:tc>
          <w:tcPr>
            <w:tcW w:w="60" w:type="dxa"/>
            <w:vAlign w:val="bottom"/>
          </w:tcPr>
          <w:p>
            <w:pPr>
              <w:spacing w:after="0"/>
              <w:rPr>
                <w:sz w:val="13"/>
                <w:szCs w:val="13"/>
                <w:color w:val="auto"/>
              </w:rPr>
            </w:pPr>
          </w:p>
        </w:tc>
      </w:tr>
      <w:tr>
        <w:trPr>
          <w:trHeight w:val="152"/>
        </w:trPr>
        <w:tc>
          <w:tcPr>
            <w:tcW w:w="5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Income Statement Data:</w:t>
            </w:r>
          </w:p>
        </w:tc>
        <w:tc>
          <w:tcPr>
            <w:tcW w:w="3000" w:type="dxa"/>
            <w:vAlign w:val="bottom"/>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60"/>
        </w:trPr>
        <w:tc>
          <w:tcPr>
            <w:tcW w:w="5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Revenues</w:t>
            </w:r>
          </w:p>
        </w:tc>
        <w:tc>
          <w:tcPr>
            <w:tcW w:w="30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392,706</w:t>
            </w:r>
          </w:p>
        </w:tc>
        <w:tc>
          <w:tcPr>
            <w:tcW w:w="3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339,549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219,196</w:t>
            </w:r>
          </w:p>
        </w:tc>
        <w:tc>
          <w:tcPr>
            <w:tcW w:w="60" w:type="dxa"/>
            <w:vAlign w:val="bottom"/>
          </w:tcPr>
          <w:p>
            <w:pPr>
              <w:spacing w:after="0"/>
              <w:rPr>
                <w:sz w:val="13"/>
                <w:szCs w:val="13"/>
                <w:color w:val="auto"/>
              </w:rPr>
            </w:pPr>
          </w:p>
        </w:tc>
      </w:tr>
      <w:tr>
        <w:trPr>
          <w:trHeight w:val="160"/>
        </w:trPr>
        <w:tc>
          <w:tcPr>
            <w:tcW w:w="5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30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60"/>
        </w:trPr>
        <w:tc>
          <w:tcPr>
            <w:tcW w:w="5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Voyage expenses</w:t>
            </w:r>
          </w:p>
        </w:tc>
        <w:tc>
          <w:tcPr>
            <w:tcW w:w="30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7,733</w:t>
            </w:r>
          </w:p>
        </w:tc>
        <w:tc>
          <w:tcPr>
            <w:tcW w:w="3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9,833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11,619</w:t>
            </w:r>
          </w:p>
        </w:tc>
        <w:tc>
          <w:tcPr>
            <w:tcW w:w="60" w:type="dxa"/>
            <w:vAlign w:val="bottom"/>
          </w:tcPr>
          <w:p>
            <w:pPr>
              <w:spacing w:after="0"/>
              <w:rPr>
                <w:sz w:val="13"/>
                <w:szCs w:val="13"/>
                <w:color w:val="auto"/>
              </w:rPr>
            </w:pPr>
          </w:p>
        </w:tc>
      </w:tr>
      <w:tr>
        <w:trPr>
          <w:trHeight w:val="160"/>
        </w:trPr>
        <w:tc>
          <w:tcPr>
            <w:tcW w:w="5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Vessel operating expenses</w:t>
            </w:r>
          </w:p>
        </w:tc>
        <w:tc>
          <w:tcPr>
            <w:tcW w:w="30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59,083</w:t>
            </w:r>
          </w:p>
        </w:tc>
        <w:tc>
          <w:tcPr>
            <w:tcW w:w="3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50,170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37,928</w:t>
            </w:r>
          </w:p>
        </w:tc>
        <w:tc>
          <w:tcPr>
            <w:tcW w:w="60" w:type="dxa"/>
            <w:vAlign w:val="bottom"/>
            <w:shd w:val="clear" w:color="auto" w:fill="CCEEFF"/>
          </w:tcPr>
          <w:p>
            <w:pPr>
              <w:spacing w:after="0"/>
              <w:rPr>
                <w:sz w:val="13"/>
                <w:szCs w:val="13"/>
                <w:color w:val="auto"/>
              </w:rPr>
            </w:pPr>
          </w:p>
        </w:tc>
      </w:tr>
      <w:tr>
        <w:trPr>
          <w:trHeight w:val="160"/>
        </w:trPr>
        <w:tc>
          <w:tcPr>
            <w:tcW w:w="5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Vessel operating expenses - related parties</w:t>
            </w:r>
          </w:p>
        </w:tc>
        <w:tc>
          <w:tcPr>
            <w:tcW w:w="30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9,144</w:t>
            </w:r>
          </w:p>
        </w:tc>
        <w:tc>
          <w:tcPr>
            <w:tcW w:w="3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6,165</w:t>
            </w:r>
          </w:p>
        </w:tc>
        <w:tc>
          <w:tcPr>
            <w:tcW w:w="60" w:type="dxa"/>
            <w:vAlign w:val="bottom"/>
          </w:tcPr>
          <w:p>
            <w:pPr>
              <w:spacing w:after="0"/>
              <w:rPr>
                <w:sz w:val="13"/>
                <w:szCs w:val="13"/>
                <w:color w:val="auto"/>
              </w:rPr>
            </w:pPr>
          </w:p>
        </w:tc>
      </w:tr>
      <w:tr>
        <w:trPr>
          <w:trHeight w:val="160"/>
        </w:trPr>
        <w:tc>
          <w:tcPr>
            <w:tcW w:w="5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30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15,598</w:t>
            </w:r>
          </w:p>
        </w:tc>
        <w:tc>
          <w:tcPr>
            <w:tcW w:w="3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16,682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13,445</w:t>
            </w:r>
          </w:p>
        </w:tc>
        <w:tc>
          <w:tcPr>
            <w:tcW w:w="60" w:type="dxa"/>
            <w:vAlign w:val="bottom"/>
            <w:shd w:val="clear" w:color="auto" w:fill="CCEEFF"/>
          </w:tcPr>
          <w:p>
            <w:pPr>
              <w:spacing w:after="0"/>
              <w:rPr>
                <w:sz w:val="13"/>
                <w:szCs w:val="13"/>
                <w:color w:val="auto"/>
              </w:rPr>
            </w:pPr>
          </w:p>
        </w:tc>
      </w:tr>
      <w:tr>
        <w:trPr>
          <w:trHeight w:val="160"/>
        </w:trPr>
        <w:tc>
          <w:tcPr>
            <w:tcW w:w="5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Vessel depreciation and amortization</w:t>
            </w:r>
          </w:p>
        </w:tc>
        <w:tc>
          <w:tcPr>
            <w:tcW w:w="30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87,213</w:t>
            </w:r>
          </w:p>
        </w:tc>
        <w:tc>
          <w:tcPr>
            <w:tcW w:w="3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76,454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47,559</w:t>
            </w:r>
          </w:p>
        </w:tc>
        <w:tc>
          <w:tcPr>
            <w:tcW w:w="60" w:type="dxa"/>
            <w:vAlign w:val="bottom"/>
          </w:tcPr>
          <w:p>
            <w:pPr>
              <w:spacing w:after="0"/>
              <w:rPr>
                <w:sz w:val="13"/>
                <w:szCs w:val="13"/>
                <w:color w:val="auto"/>
              </w:rPr>
            </w:pPr>
          </w:p>
        </w:tc>
      </w:tr>
      <w:tr>
        <w:trPr>
          <w:trHeight w:val="150"/>
        </w:trPr>
        <w:tc>
          <w:tcPr>
            <w:tcW w:w="5240" w:type="dxa"/>
            <w:vAlign w:val="bottom"/>
            <w:tcBorders>
              <w:bottom w:val="single" w:sz="8" w:color="CCEEFF"/>
            </w:tcBorders>
            <w:shd w:val="clear" w:color="auto" w:fill="CCEEFF"/>
          </w:tcPr>
          <w:p>
            <w:pPr>
              <w:ind w:left="80"/>
              <w:spacing w:after="0" w:line="140" w:lineRule="exact"/>
              <w:rPr>
                <w:sz w:val="20"/>
                <w:szCs w:val="20"/>
                <w:color w:val="auto"/>
              </w:rPr>
            </w:pPr>
            <w:r>
              <w:rPr>
                <w:rFonts w:ascii="Times New Roman" w:cs="Times New Roman" w:eastAsia="Times New Roman" w:hAnsi="Times New Roman"/>
                <w:sz w:val="13"/>
                <w:szCs w:val="13"/>
                <w:color w:val="auto"/>
              </w:rPr>
              <w:t>Impairment of vessels</w:t>
            </w:r>
          </w:p>
        </w:tc>
        <w:tc>
          <w:tcPr>
            <w:tcW w:w="30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11,157</w:t>
            </w:r>
          </w:p>
        </w:tc>
        <w:tc>
          <w:tcPr>
            <w:tcW w:w="60" w:type="dxa"/>
            <w:vAlign w:val="bottom"/>
            <w:tcBorders>
              <w:bottom w:val="single" w:sz="8" w:color="CCEEFF"/>
            </w:tcBorders>
            <w:shd w:val="clear" w:color="auto" w:fill="CCEEFF"/>
          </w:tcPr>
          <w:p>
            <w:pPr>
              <w:spacing w:after="0"/>
              <w:rPr>
                <w:sz w:val="13"/>
                <w:szCs w:val="13"/>
                <w:color w:val="auto"/>
              </w:rPr>
            </w:pPr>
          </w:p>
        </w:tc>
      </w:tr>
      <w:tr>
        <w:trPr>
          <w:trHeight w:val="160"/>
        </w:trPr>
        <w:tc>
          <w:tcPr>
            <w:tcW w:w="52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Operating income, net</w:t>
            </w:r>
          </w:p>
        </w:tc>
        <w:tc>
          <w:tcPr>
            <w:tcW w:w="30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213,935</w:t>
            </w:r>
          </w:p>
        </w:tc>
        <w:tc>
          <w:tcPr>
            <w:tcW w:w="3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177,688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91,323</w:t>
            </w:r>
          </w:p>
        </w:tc>
        <w:tc>
          <w:tcPr>
            <w:tcW w:w="60" w:type="dxa"/>
            <w:vAlign w:val="bottom"/>
          </w:tcPr>
          <w:p>
            <w:pPr>
              <w:spacing w:after="0"/>
              <w:rPr>
                <w:sz w:val="13"/>
                <w:szCs w:val="13"/>
                <w:color w:val="auto"/>
              </w:rPr>
            </w:pPr>
          </w:p>
        </w:tc>
      </w:tr>
      <w:tr>
        <w:trPr>
          <w:trHeight w:val="150"/>
        </w:trPr>
        <w:tc>
          <w:tcPr>
            <w:tcW w:w="5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Other (expense) / income, net:</w:t>
            </w:r>
          </w:p>
        </w:tc>
        <w:tc>
          <w:tcPr>
            <w:tcW w:w="3000" w:type="dxa"/>
            <w:vAlign w:val="bottom"/>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60"/>
        </w:trPr>
        <w:tc>
          <w:tcPr>
            <w:tcW w:w="5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Interest expense and finance cost</w:t>
            </w:r>
          </w:p>
        </w:tc>
        <w:tc>
          <w:tcPr>
            <w:tcW w:w="30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(103,128)</w:t>
            </w:r>
          </w:p>
        </w:tc>
        <w:tc>
          <w:tcPr>
            <w:tcW w:w="3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(125,760)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(84,330)</w:t>
            </w:r>
          </w:p>
        </w:tc>
        <w:tc>
          <w:tcPr>
            <w:tcW w:w="60" w:type="dxa"/>
            <w:vAlign w:val="bottom"/>
          </w:tcPr>
          <w:p>
            <w:pPr>
              <w:spacing w:after="0"/>
              <w:rPr>
                <w:sz w:val="13"/>
                <w:szCs w:val="13"/>
                <w:color w:val="auto"/>
              </w:rPr>
            </w:pPr>
          </w:p>
        </w:tc>
      </w:tr>
      <w:tr>
        <w:trPr>
          <w:trHeight w:val="160"/>
        </w:trPr>
        <w:tc>
          <w:tcPr>
            <w:tcW w:w="5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income, net</w:t>
            </w:r>
          </w:p>
        </w:tc>
        <w:tc>
          <w:tcPr>
            <w:tcW w:w="30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2,587</w:t>
            </w:r>
          </w:p>
        </w:tc>
        <w:tc>
          <w:tcPr>
            <w:tcW w:w="36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3,262</w:t>
            </w:r>
          </w:p>
        </w:tc>
        <w:tc>
          <w:tcPr>
            <w:tcW w:w="26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1,254</w:t>
            </w:r>
          </w:p>
        </w:tc>
        <w:tc>
          <w:tcPr>
            <w:tcW w:w="60" w:type="dxa"/>
            <w:vAlign w:val="bottom"/>
            <w:tcBorders>
              <w:bottom w:val="single" w:sz="8" w:color="CCEEFF"/>
            </w:tcBorders>
            <w:shd w:val="clear" w:color="auto" w:fill="CCEEFF"/>
          </w:tcPr>
          <w:p>
            <w:pPr>
              <w:spacing w:after="0"/>
              <w:rPr>
                <w:sz w:val="13"/>
                <w:szCs w:val="13"/>
                <w:color w:val="auto"/>
              </w:rPr>
            </w:pPr>
          </w:p>
        </w:tc>
      </w:tr>
      <w:tr>
        <w:trPr>
          <w:trHeight w:val="150"/>
        </w:trPr>
        <w:tc>
          <w:tcPr>
            <w:tcW w:w="52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Total other (expense), net</w:t>
            </w:r>
          </w:p>
        </w:tc>
        <w:tc>
          <w:tcPr>
            <w:tcW w:w="300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(100,541)</w:t>
            </w:r>
          </w:p>
        </w:tc>
        <w:tc>
          <w:tcPr>
            <w:tcW w:w="36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(122,498)</w:t>
            </w:r>
          </w:p>
        </w:tc>
        <w:tc>
          <w:tcPr>
            <w:tcW w:w="260" w:type="dxa"/>
            <w:vAlign w:val="bottom"/>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(83,076)</w:t>
            </w:r>
          </w:p>
        </w:tc>
        <w:tc>
          <w:tcPr>
            <w:tcW w:w="60" w:type="dxa"/>
            <w:vAlign w:val="bottom"/>
          </w:tcPr>
          <w:p>
            <w:pPr>
              <w:spacing w:after="0"/>
              <w:rPr>
                <w:sz w:val="13"/>
                <w:szCs w:val="13"/>
                <w:color w:val="auto"/>
              </w:rPr>
            </w:pPr>
          </w:p>
        </w:tc>
      </w:tr>
      <w:tr>
        <w:trPr>
          <w:trHeight w:val="150"/>
        </w:trPr>
        <w:tc>
          <w:tcPr>
            <w:tcW w:w="5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Net income from continuing operations</w:t>
            </w:r>
          </w:p>
        </w:tc>
        <w:tc>
          <w:tcPr>
            <w:tcW w:w="30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113,394</w:t>
            </w:r>
          </w:p>
        </w:tc>
        <w:tc>
          <w:tcPr>
            <w:tcW w:w="36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55,190</w:t>
            </w:r>
          </w:p>
        </w:tc>
        <w:tc>
          <w:tcPr>
            <w:tcW w:w="26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8,247</w:t>
            </w:r>
          </w:p>
        </w:tc>
        <w:tc>
          <w:tcPr>
            <w:tcW w:w="60" w:type="dxa"/>
            <w:vAlign w:val="bottom"/>
            <w:tcBorders>
              <w:bottom w:val="single" w:sz="8" w:color="CCEEFF"/>
            </w:tcBorders>
            <w:shd w:val="clear" w:color="auto" w:fill="CCEEFF"/>
          </w:tcPr>
          <w:p>
            <w:pPr>
              <w:spacing w:after="0"/>
              <w:rPr>
                <w:sz w:val="13"/>
                <w:szCs w:val="13"/>
                <w:color w:val="auto"/>
              </w:rPr>
            </w:pPr>
          </w:p>
        </w:tc>
      </w:tr>
      <w:tr>
        <w:trPr>
          <w:trHeight w:val="150"/>
        </w:trPr>
        <w:tc>
          <w:tcPr>
            <w:tcW w:w="52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Net income from discontinued operations</w:t>
            </w:r>
          </w:p>
        </w:tc>
        <w:tc>
          <w:tcPr>
            <w:tcW w:w="300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57,365</w:t>
            </w:r>
          </w:p>
        </w:tc>
        <w:tc>
          <w:tcPr>
            <w:tcW w:w="36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138,444</w:t>
            </w:r>
          </w:p>
        </w:tc>
        <w:tc>
          <w:tcPr>
            <w:tcW w:w="260" w:type="dxa"/>
            <w:vAlign w:val="bottom"/>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38,961</w:t>
            </w:r>
          </w:p>
        </w:tc>
        <w:tc>
          <w:tcPr>
            <w:tcW w:w="60" w:type="dxa"/>
            <w:vAlign w:val="bottom"/>
          </w:tcPr>
          <w:p>
            <w:pPr>
              <w:spacing w:after="0"/>
              <w:rPr>
                <w:sz w:val="13"/>
                <w:szCs w:val="13"/>
                <w:color w:val="auto"/>
              </w:rPr>
            </w:pPr>
          </w:p>
        </w:tc>
      </w:tr>
      <w:tr>
        <w:trPr>
          <w:trHeight w:val="150"/>
        </w:trPr>
        <w:tc>
          <w:tcPr>
            <w:tcW w:w="5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Net income from operations</w:t>
            </w:r>
          </w:p>
        </w:tc>
        <w:tc>
          <w:tcPr>
            <w:tcW w:w="30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170,759</w:t>
            </w:r>
          </w:p>
        </w:tc>
        <w:tc>
          <w:tcPr>
            <w:tcW w:w="3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193,634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47,208</w:t>
            </w:r>
          </w:p>
        </w:tc>
        <w:tc>
          <w:tcPr>
            <w:tcW w:w="60" w:type="dxa"/>
            <w:vAlign w:val="bottom"/>
            <w:shd w:val="clear" w:color="auto" w:fill="CCEEFF"/>
          </w:tcPr>
          <w:p>
            <w:pPr>
              <w:spacing w:after="0"/>
              <w:rPr>
                <w:sz w:val="13"/>
                <w:szCs w:val="13"/>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Year Ended December 31, 2025 Compared to Year Ended December 31, 2024</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Our results of operations for the years ended December 31, 2025 and 2024 differ primarily due to:</w:t>
      </w:r>
    </w:p>
    <w:p>
      <w:pPr>
        <w:spacing w:after="0" w:line="170" w:lineRule="exact"/>
        <w:rPr>
          <w:sz w:val="20"/>
          <w:szCs w:val="20"/>
          <w:color w:val="auto"/>
        </w:rPr>
      </w:pPr>
    </w:p>
    <w:p>
      <w:pPr>
        <w:ind w:left="960" w:hanging="481"/>
        <w:spacing w:after="0"/>
        <w:tabs>
          <w:tab w:leader="none" w:pos="960" w:val="left"/>
        </w:tabs>
        <w:numPr>
          <w:ilvl w:val="0"/>
          <w:numId w:val="7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net increase in the weighted average number of vessels in our on-the-water fleet by 1.3 vessels;</w:t>
      </w:r>
    </w:p>
    <w:p>
      <w:pPr>
        <w:spacing w:after="0" w:line="169" w:lineRule="exact"/>
        <w:rPr>
          <w:sz w:val="20"/>
          <w:szCs w:val="20"/>
          <w:color w:val="auto"/>
        </w:rPr>
      </w:pPr>
    </w:p>
    <w:p>
      <w:pPr>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89</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46" w:right="319" w:bottom="1440" w:gutter="0" w:footer="0" w:header="0"/>
        </w:sectPr>
      </w:pPr>
    </w:p>
    <w:bookmarkStart w:id="90" w:name="page91"/>
    <w:bookmarkEnd w:id="90"/>
    <w:p>
      <w:pPr>
        <w:ind w:left="960" w:hanging="481"/>
        <w:spacing w:after="0" w:line="292" w:lineRule="auto"/>
        <w:tabs>
          <w:tab w:leader="none" w:pos="960" w:val="left"/>
        </w:tabs>
        <w:numPr>
          <w:ilvl w:val="0"/>
          <w:numId w:val="7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net increase in the weighted average number of LNG/C vessels that are earning revenues and are incurring higher operating expenses compared to the rest of our on-the-water fleet by 1.3 vessels following the acquisition of three LNG/C vessels in the second quarter of 2024; and</w:t>
      </w:r>
    </w:p>
    <w:p>
      <w:pPr>
        <w:spacing w:after="0" w:line="114" w:lineRule="exact"/>
        <w:rPr>
          <w:rFonts w:ascii="Arial" w:cs="Arial" w:eastAsia="Arial" w:hAnsi="Arial"/>
          <w:sz w:val="13"/>
          <w:szCs w:val="13"/>
          <w:b w:val="1"/>
          <w:bCs w:val="1"/>
          <w:color w:val="auto"/>
        </w:rPr>
      </w:pPr>
    </w:p>
    <w:p>
      <w:pPr>
        <w:ind w:left="960" w:hanging="481"/>
        <w:spacing w:after="0" w:line="292" w:lineRule="auto"/>
        <w:tabs>
          <w:tab w:leader="none" w:pos="960" w:val="left"/>
        </w:tabs>
        <w:numPr>
          <w:ilvl w:val="0"/>
          <w:numId w:val="7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decrease in interest expense and finance cost during the year ended December 31, 2025, compared to the corresponding period in 2024, mainly attributable to the decrease in the weighted average interest rate charged on our debt partly set off by the increase in our average indebtedness.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Total Revenues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Total revenues, consisting of time and bareboat charter revenues, amounted to $392.7 million for the year ended December 31, 2025, compared to $339.5 million for the year ended December 31, 2024.</w:t>
      </w:r>
    </w:p>
    <w:p>
      <w:pPr>
        <w:spacing w:after="0" w:line="170"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The increase of $53.2 million during the year ended December 31, 2025 was primarily attributable to the three LNG/C vessels we acquired in the second quarter of 2024, namely the LNG/C Apostolos, the LNG/C Aktoras and the LNG/C Assos. As a result, the average number of vessels in our fleet for the year ended December 31, 2025, increased by 1.3 vessels compared to the corresponding period in 2024.</w:t>
      </w:r>
    </w:p>
    <w:p>
      <w:pPr>
        <w:spacing w:after="0" w:line="11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Time and bareboat charter revenues are comprised of the charter hires received from unaffiliated third-party charterers and are generally affected by the number of vessel operating days, the weighted average number of vessels in our fleet and the charter rates.</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For the year ended December 31, 2025, BP, BGT, Cheniere, Hartree and Qatar Energy Trading accounted for 18%, 16%, 14%, 10% and 10% of our revenues, respectively.</w:t>
      </w:r>
    </w:p>
    <w:p>
      <w:pPr>
        <w:spacing w:after="0" w:line="170"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For information on the risks arising from a concentration of counterparties, see “Item 3. Key Information—D. Risk Factors—Risks Inherent in Our Operations—We currently derive all of our revenues from a limited number of charterers and the loss of any charterer or charter could result in a significant loss of revenues and cash flows.”</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Please read “Item 4. Information on the Company—B. Business Overview—Our Fleet” and “—Our Charters” for information about the charters on our vessels, including daily charter rates.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Voyage Expenses</w:t>
      </w:r>
    </w:p>
    <w:p>
      <w:pPr>
        <w:spacing w:after="0" w:line="172" w:lineRule="exact"/>
        <w:rPr>
          <w:sz w:val="20"/>
          <w:szCs w:val="20"/>
          <w:color w:val="auto"/>
        </w:rPr>
      </w:pPr>
    </w:p>
    <w:p>
      <w:pPr>
        <w:jc w:val="both"/>
        <w:ind w:firstLine="479"/>
        <w:spacing w:after="0" w:line="286" w:lineRule="auto"/>
        <w:rPr>
          <w:sz w:val="20"/>
          <w:szCs w:val="20"/>
          <w:color w:val="auto"/>
        </w:rPr>
      </w:pPr>
      <w:r>
        <w:rPr>
          <w:rFonts w:ascii="Times New Roman" w:cs="Times New Roman" w:eastAsia="Times New Roman" w:hAnsi="Times New Roman"/>
          <w:sz w:val="13"/>
          <w:szCs w:val="13"/>
          <w:color w:val="auto"/>
        </w:rPr>
        <w:t>Total voyage expenses amounted to $7.7 million for the year ended December 31, 2025, compared to $9.8 million for the year ended December 31, 2024. The decrease of $2.1 million was mainly attributed to certain voyage expenses that were reimbursed to us by charterers during the year ended December 31, 2025 and higher costs incurred during the year ended December 31, 2024 for additional war risk premiums.</w:t>
      </w:r>
    </w:p>
    <w:p>
      <w:pPr>
        <w:spacing w:after="0" w:line="28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Voyage expenses primarily consist of commissions, bunkers, port expenses and canal dues. Commissions are paid to shipbrokers for negotiating and arranging charter party agreements on our behalf. Voyage expenses incurred during time charters are paid for by the charterer, except for commissions, which are paid for by us. Voyage expenses incurred during voyage charters or off hire periods are paid for by us. Please also refer to Note 12 (Voyage Expenses and Vessel Operating Expenses) to the Financial Statements for information on the composition of our voyage expenses.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Vessel Operating Expenses</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For the year ended December 31, 2025, our total vessel operating expenses amounted to $68.2 million compared to $58.9 million for the year ended December 31, 2024. The $9.3 million increase in total vessel operating expenses reflects the increase in the average number of vessels in our fleet compared to the corresponding period in 2024. In addition, during the year ended December 31, 2025, two of our LNG/C vessels underwent their special surveys resulting in our recognizing additional costs compared to the corresponding period in 2024.</w:t>
      </w:r>
    </w:p>
    <w:p>
      <w:pPr>
        <w:spacing w:after="0" w:line="127"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90</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46" w:right="319" w:bottom="1440" w:gutter="0" w:footer="0" w:header="0"/>
        </w:sectPr>
      </w:pPr>
    </w:p>
    <w:bookmarkStart w:id="91" w:name="page92"/>
    <w:bookmarkEnd w:id="91"/>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Total vessel operating expenses for the year ended December 31, 2025 include expenses of $9.1 million incurred under the management agreements we have with certain of our Managers, compared to $8.7 million during the year ended December 31, 2024.</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See Note 12 (Voyage Expenses and Vessel Operating Expenses) to the Financial Statements for information on the composition of our vessel operating expenses.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General and Administrative Expenses</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General and administrative expenses amounted to $15.6 million for the year ended December 31, 2025, compared to $16.7 million for the year ended December 31, 2024. The $1.1 million decrease in general and administrative expenses was mainly attributable to costs incurred in connection with the Conversion during the year ended December 31, 2024, partly offset by the increase in fees paid under the executive services agreement with CGP LLC and the higher costs in connection with our equity compensation incentive plan during the year ended December 31, 2025.</w:t>
      </w:r>
    </w:p>
    <w:p>
      <w:pPr>
        <w:spacing w:after="0" w:line="127"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General and administrative expenses include board of directors’ fees and expenses, audit and certain legal fees, compensation cost related to our Omnibus Incentive Compensation Plan and other fees related to the expenses of the publicly traded corporation, the amortization associated with our equity incentive plan and the cost of the Conversion.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Vessel Depreciation and Amortization</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Depreciation and amortization amounted to $87.2 million for the year ended December 31, 2025, compared to $76.5 million for the year ended December 31, 2024. The $10.7 million increase in vessel depreciation and amortization primarily reflects the net increase in the number of vessels in our fleet.</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Generally, depreciation is expected to increase if the weighted average number of vessels in our fleet and/or our average acquisition cost of new vessels increase.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Interest expense and finance cost</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Interest expense and finance costs amounted to $103.1 million for the year ended December 31, 2025, compared to $125.8 million for the year ended December 31, 2024. The decrease of $22.7 million primarily reflects the decrease in the weighted average interest rate charged on our debt partly set off by the increase in our average indebtedness compared to 2024.</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Interest expense and finance costs include interest expense, amortization of financing charges, commitment fees and bank charges.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weighted average interest rate on the debt outstanding under our financing arrangements for the year ended December 31, 2025, was 5.1%, compared to 6.5% for the year ended December 31, 2024.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Please also refer to Note 8 (Long-Term Debt) to our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Net Income</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Net income from continuing operations for the year ended December 31, 2025, amounted to $113.4 million compared to $55.2 million for the year ended December 31,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Year Ended December 31, 2024 Compared to Year Ended December 31, 2023</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Our results of operations for the years ended December 31, 2024 and 2023 differ primarily due to:</w:t>
      </w:r>
    </w:p>
    <w:p>
      <w:pPr>
        <w:spacing w:after="0" w:line="170" w:lineRule="exact"/>
        <w:rPr>
          <w:sz w:val="20"/>
          <w:szCs w:val="20"/>
          <w:color w:val="auto"/>
        </w:rPr>
      </w:pPr>
    </w:p>
    <w:p>
      <w:pPr>
        <w:ind w:left="960" w:hanging="481"/>
        <w:spacing w:after="0"/>
        <w:tabs>
          <w:tab w:leader="none" w:pos="960" w:val="left"/>
        </w:tabs>
        <w:numPr>
          <w:ilvl w:val="0"/>
          <w:numId w:val="7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net increase in the weighted average number of vessels in our on-the-water fleet by 3.4 vessels;</w:t>
      </w:r>
    </w:p>
    <w:p>
      <w:pPr>
        <w:spacing w:after="0" w:line="169"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91</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92" w:name="page93"/>
    <w:bookmarkEnd w:id="92"/>
    <w:p>
      <w:pPr>
        <w:ind w:left="960" w:hanging="481"/>
        <w:spacing w:after="0" w:line="292" w:lineRule="auto"/>
        <w:tabs>
          <w:tab w:leader="none" w:pos="960" w:val="left"/>
        </w:tabs>
        <w:numPr>
          <w:ilvl w:val="0"/>
          <w:numId w:val="7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net increase in the weighted average number of LNG/C vessels that are earning revenues and are incurring higher operating expenses compared to the rest of our on-the-water fleet by 3.8 vessels following the acquisitions of the LNG/C Axios II, LNG/C Assos, LNG/C Aktoras, and LNG/C Apostolos in the first half of 2024;</w:t>
      </w:r>
    </w:p>
    <w:p>
      <w:pPr>
        <w:spacing w:after="0" w:line="114" w:lineRule="exact"/>
        <w:rPr>
          <w:rFonts w:ascii="Arial" w:cs="Arial" w:eastAsia="Arial" w:hAnsi="Arial"/>
          <w:sz w:val="13"/>
          <w:szCs w:val="13"/>
          <w:b w:val="1"/>
          <w:bCs w:val="1"/>
          <w:color w:val="auto"/>
        </w:rPr>
      </w:pPr>
    </w:p>
    <w:p>
      <w:pPr>
        <w:ind w:left="960" w:hanging="481"/>
        <w:spacing w:after="0"/>
        <w:tabs>
          <w:tab w:leader="none" w:pos="960" w:val="left"/>
        </w:tabs>
        <w:numPr>
          <w:ilvl w:val="0"/>
          <w:numId w:val="7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net decrease in the weighted average number of dry bulk vessels by 0.9 vessels following the disposal of the M/V Cape Agamemnon in the fourth quarter of 2023;</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7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impairment charge we recognized in the year 2023 of $11.2 million in connection with the sale of the M/V Cape Agamemnon; and</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7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increase in our average indebtedness and the increase in the weighted average interest on our long-term debt, which increased to 6.5% for the year 2024 from 6.2% for the year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Total Revenues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Total revenues, consisting of time, bareboat and voyage charter revenues, amounted to $339.5 million for the year ended December 31, 2024 compared to $219.2 million for the year ended December 31,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2023.</w:t>
      </w:r>
    </w:p>
    <w:p>
      <w:pPr>
        <w:spacing w:after="0" w:line="157" w:lineRule="exact"/>
        <w:rPr>
          <w:sz w:val="20"/>
          <w:szCs w:val="20"/>
          <w:color w:val="auto"/>
        </w:rPr>
      </w:pPr>
    </w:p>
    <w:p>
      <w:pPr>
        <w:jc w:val="both"/>
        <w:ind w:firstLine="479"/>
        <w:spacing w:after="0" w:line="286" w:lineRule="auto"/>
        <w:rPr>
          <w:sz w:val="20"/>
          <w:szCs w:val="20"/>
          <w:color w:val="auto"/>
        </w:rPr>
      </w:pPr>
      <w:r>
        <w:rPr>
          <w:rFonts w:ascii="Times New Roman" w:cs="Times New Roman" w:eastAsia="Times New Roman" w:hAnsi="Times New Roman"/>
          <w:sz w:val="13"/>
          <w:szCs w:val="13"/>
          <w:color w:val="auto"/>
        </w:rPr>
        <w:t>The increase of $120.3 million was primarily a result of the net increase in the weighted average number of vessels in our on-the-water fleet by 3.4 vessels during the year ended December 31, 2024 mainly following the acquisitions of the LNG/C Axios II, LNG/C Assos, LNG/C Aktoras, and LNG/C Apostolos in the first half of 2024 partly offset by the sale of the M/V Cape Agamemnon in the fourth quarter of 2024.</w:t>
      </w:r>
    </w:p>
    <w:p>
      <w:pPr>
        <w:spacing w:after="0" w:line="28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Time, bareboat and voyage charter revenues are mainly comprised of the charter hires received from unaffiliated third-party charterers and are generally affected by the number of vessel operating days, the weighted average number of vessels in our fleet and the charter rates.</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For the year ended December 31, 2024, BP, Cheniere, Hartree, and Qatar Energy Trading accounted for 23%, 17%, 12% and 12% of our revenues, respectively.</w:t>
      </w:r>
    </w:p>
    <w:p>
      <w:pPr>
        <w:spacing w:after="0" w:line="170"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For information on the risks arising from a concentration of counterparties, see “Item 3. Key Information—D. Risk Factors—Risks Inherent in Our Operations—We currently derive all of our revenues from a limited number of charterers and the loss of any charterer or charter or vessel could result in a significant loss of revenues and cash flows.”</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Please read “Item 4. Information on the Company—B. Business Overview—Our Fleet” and “—Our Charters” for information about the charters on our vessels, including daily charter rates.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Voyage Expenses</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Total voyage expenses amounted to $9.8 million for the year ended December 31, 2024, compared to $11.6 million for the year ended December 31, 2023. The decrease of $1.8 million was primarily attributable to the fact that none of our vessels operated under voyage charter during the year ended December 31, 2024, compared to one vessel during the corresponding period in 2023.</w:t>
      </w:r>
    </w:p>
    <w:p>
      <w:pPr>
        <w:spacing w:after="0" w:line="114"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Voyage expenses primarily consist of commissions, bunkers, port expenses and canal dues. Commissions are paid to shipbrokers for negotiating and arranging charter party agreements on our behalf. Voyage expenses incurred during time charters are paid for by the charterer, except for commissions, which are paid for by us. Voyage expenses incurred during voyage charters or off hire periods are paid for by us. Please also refer to Note 12 (Voyage Expenses and Vessel Operating Expenses) to the Financial Statements for information on the composition of our voyage expenses.</w:t>
      </w:r>
    </w:p>
    <w:p>
      <w:pPr>
        <w:spacing w:after="0" w:line="127"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92</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46"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3"/>
          <w:szCs w:val="13"/>
          <w:b w:val="1"/>
          <w:bCs w:val="1"/>
          <w:color w:val="auto"/>
        </w:rPr>
        <w:t>Vessel Operating Expenses</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For the year ended December 31, 2024, our total vessel operating expenses amounted to $58.9 million compared to $44.1 million for the year ended December 31, 2023. The $14.8 million increase in total vessel operating expenses primarily reflects the increase in the number of vessels in our fleet during 2024.</w:t>
      </w:r>
    </w:p>
    <w:p>
      <w:pPr>
        <w:spacing w:after="0" w:line="11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Total vessel operating expenses for the year ended December 31, 2024 include expenses of $8.7 million incurred under the management agreements we have with certain of our Managers, compared to $6.2 million during the year ended December 31, 2023.</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See Note 12 (Voyage Expenses and Vessel Operating Expenses) to the Financial Statements for information on the composition of our vessel operating expenses.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General and Administrative Expenses</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General and administrative expenses amounted to $16.7 million for the year ended December 31, 2024, compared to $13.4 million for the year ended December 31, 2023. The $3.3 million increase in general and administrative expenses was mainly attributable to costs incurred in connection with the Conversion and the amortization associated with our equity incentive plan.</w:t>
      </w:r>
    </w:p>
    <w:p>
      <w:pPr>
        <w:spacing w:after="0" w:line="11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General and administrative expenses include board of directors’ fees and expenses, audit and certain legal fees, compensation cost related to our Omnibus Incentive Compensation Plan and other fees related to the expenses of the publicly traded corporation, the amortization associated with our equity incentive plan and the cost of the Conversion.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Vessel Depreciation and Amortization</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Depreciation and amortization amounted to $76.5 million for the year ended December 31, 2024, compared to $47.6 million for the year ended December 31, 2023. The $28.9 million increase in vessel depreciation and amortization primarily reflects the net increase in the number of vessels in our fleet and the higher average acquisition cost due to the LNG/C vessels acquisitions during the year ended December 31, 2024.</w:t>
      </w:r>
    </w:p>
    <w:p>
      <w:pPr>
        <w:spacing w:after="0" w:line="1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Generally, depreciation is expected to increase if the weighted average number of vessels in our fleet and/or our average acquisition cost of new vessels increase.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Impairment of vessels</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The Company did not recognize an impairment charge during the year ended December 31, 2024. On June 27, 2023, the Company agreed to sell the M/V Cape Agamemnon to an unaffiliated party. Upon reaching the agreement to sell, we considered that the vessel met the criteria to be classified as held for sale and measured the vessel at the lower of its carrying amount and fair value less the cost associated with the sale. Consequently, the Company recognized an impairment charge for the year ended December 31, 2023, of $11.2 million in total.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Interest expense and finance cost</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Interest expense and finance costs amounted to $125.8 million for the year ended December 31, 2024, compared to $84.3 million for the year ended December 31, 2023. The increase of $41.5 million primarily reflects higher debt and interest costs incurred mainly as a result of higher average indebtedness and the increase in the weighted average interest rate for the year ended December 31, 2024, compared to 2023.</w:t>
      </w:r>
    </w:p>
    <w:p>
      <w:pPr>
        <w:spacing w:after="0" w:line="1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Interest expense and finance costs include interest expense, amortization of financing charges, commitment fees and bank charges.</w:t>
      </w:r>
    </w:p>
    <w:p>
      <w:pPr>
        <w:spacing w:after="0" w:line="170"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93</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94" w:name="page95"/>
    <w:bookmarkEnd w:id="94"/>
    <w:p>
      <w:pPr>
        <w:ind w:left="480"/>
        <w:spacing w:after="0"/>
        <w:rPr>
          <w:sz w:val="20"/>
          <w:szCs w:val="20"/>
          <w:color w:val="auto"/>
        </w:rPr>
      </w:pPr>
      <w:r>
        <w:rPr>
          <w:rFonts w:ascii="Times New Roman" w:cs="Times New Roman" w:eastAsia="Times New Roman" w:hAnsi="Times New Roman"/>
          <w:sz w:val="13"/>
          <w:szCs w:val="13"/>
          <w:color w:val="auto"/>
        </w:rPr>
        <w:t>The weighted average interest rate on the debt outstanding under our financing arrangements for the year ended December 31, 2024, was 6.5%, compared to 6.2% for the year ended December 31, 2023.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Please also refer to Note 8 (Long-Term Debt) to our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Net Income</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Net income from continuing operations for the year ended December 31, 2024 amounted to $55.2 million compared to $8.2 million for the year ended December 31, 2023.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Foreign currency fluctuations/hedging</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See “Item 11. Quantitative and Qualitative Disclosures about Market Risk” for information about our exposure to foreign currency fluctuations.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Government polices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See “Item 3. Key Information—D. Risk Factors—Risks Related to Our Industry” for information on the risks arising from governmental economic, fiscal, monetary or political policies or factors.</w:t>
      </w:r>
    </w:p>
    <w:p>
      <w:pPr>
        <w:spacing w:after="0" w:line="168" w:lineRule="exact"/>
        <w:rPr>
          <w:sz w:val="20"/>
          <w:szCs w:val="20"/>
          <w:color w:val="auto"/>
        </w:rPr>
      </w:pPr>
    </w:p>
    <w:p>
      <w:pPr>
        <w:ind w:left="480" w:hanging="480"/>
        <w:spacing w:after="0"/>
        <w:tabs>
          <w:tab w:leader="none" w:pos="480" w:val="left"/>
        </w:tabs>
        <w:numPr>
          <w:ilvl w:val="0"/>
          <w:numId w:val="7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Liquidity and Capital Resources</w:t>
      </w:r>
    </w:p>
    <w:p>
      <w:pPr>
        <w:spacing w:after="0" w:line="172"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As of December 31, 2025, total cash and cash equivalents (including restricted cash) were $294.9 million. Restricted cash under our financing arrangements amounted to $21.0 million. See also “— Borrowings (Financing Arrangements)” below for information regarding our financing arrangements.</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Generally, our primary sources of funds have been cash from operations, bank borrowings, sale-leaseback arrangements and equity and debt securities offerings.</w:t>
      </w:r>
    </w:p>
    <w:p>
      <w:pPr>
        <w:spacing w:after="0" w:line="170"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Cash from operations depends on our chartering activity. Depending on the prevailing market rates when our charters expire, we may not be able to re-charter our vessels at levels similar to their current charters, which may affect our future cash flows from operations. Cash flows from operations may be further affected by other factors described in “Item 3. Key Information-D. Risk Factors”.</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Future minimum charter hire receipts, excluding any profit share revenue that may arise, based on non-cancellable time charter contracts, as of December 31, 2025 were: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Year ending December 31,</w:t>
            </w:r>
          </w:p>
        </w:tc>
        <w:tc>
          <w:tcPr>
            <w:tcW w:w="3080" w:type="dxa"/>
            <w:vAlign w:val="bottom"/>
            <w:gridSpan w:val="3"/>
          </w:tcPr>
          <w:p>
            <w:pPr>
              <w:ind w:left="1020"/>
              <w:spacing w:after="0"/>
              <w:rPr>
                <w:sz w:val="20"/>
                <w:szCs w:val="20"/>
                <w:color w:val="auto"/>
              </w:rPr>
            </w:pPr>
            <w:r>
              <w:rPr>
                <w:rFonts w:ascii="Times New Roman" w:cs="Times New Roman" w:eastAsia="Times New Roman" w:hAnsi="Times New Roman"/>
                <w:sz w:val="13"/>
                <w:szCs w:val="13"/>
                <w:b w:val="1"/>
                <w:bCs w:val="1"/>
                <w:color w:val="auto"/>
              </w:rPr>
              <w:t>Amount in millions of U.S. Dollars.</w:t>
            </w:r>
          </w:p>
        </w:tc>
      </w:tr>
      <w:tr>
        <w:trPr>
          <w:trHeight w:val="160"/>
        </w:trPr>
        <w:tc>
          <w:tcPr>
            <w:tcW w:w="8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2026</w:t>
            </w:r>
          </w:p>
        </w:tc>
        <w:tc>
          <w:tcPr>
            <w:tcW w:w="25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$ 349.5</w:t>
            </w:r>
          </w:p>
        </w:tc>
        <w:tc>
          <w:tcPr>
            <w:tcW w:w="60" w:type="dxa"/>
            <w:vAlign w:val="bottom"/>
            <w:shd w:val="clear" w:color="auto" w:fill="CCEEFF"/>
          </w:tcPr>
          <w:p>
            <w:pPr>
              <w:spacing w:after="0"/>
              <w:rPr>
                <w:sz w:val="13"/>
                <w:szCs w:val="13"/>
                <w:color w:val="auto"/>
              </w:rPr>
            </w:pPr>
          </w:p>
        </w:tc>
      </w:tr>
      <w:tr>
        <w:trPr>
          <w:trHeight w:val="160"/>
        </w:trPr>
        <w:tc>
          <w:tcPr>
            <w:tcW w:w="8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2027</w:t>
            </w:r>
          </w:p>
        </w:tc>
        <w:tc>
          <w:tcPr>
            <w:tcW w:w="25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378.4</w:t>
            </w:r>
          </w:p>
        </w:tc>
        <w:tc>
          <w:tcPr>
            <w:tcW w:w="60" w:type="dxa"/>
            <w:vAlign w:val="bottom"/>
          </w:tcPr>
          <w:p>
            <w:pPr>
              <w:spacing w:after="0"/>
              <w:rPr>
                <w:sz w:val="13"/>
                <w:szCs w:val="13"/>
                <w:color w:val="auto"/>
              </w:rPr>
            </w:pPr>
          </w:p>
        </w:tc>
      </w:tr>
      <w:tr>
        <w:trPr>
          <w:trHeight w:val="160"/>
        </w:trPr>
        <w:tc>
          <w:tcPr>
            <w:tcW w:w="8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2028</w:t>
            </w:r>
          </w:p>
        </w:tc>
        <w:tc>
          <w:tcPr>
            <w:tcW w:w="25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433.3</w:t>
            </w:r>
          </w:p>
        </w:tc>
        <w:tc>
          <w:tcPr>
            <w:tcW w:w="60" w:type="dxa"/>
            <w:vAlign w:val="bottom"/>
            <w:shd w:val="clear" w:color="auto" w:fill="CCEEFF"/>
          </w:tcPr>
          <w:p>
            <w:pPr>
              <w:spacing w:after="0"/>
              <w:rPr>
                <w:sz w:val="13"/>
                <w:szCs w:val="13"/>
                <w:color w:val="auto"/>
              </w:rPr>
            </w:pPr>
          </w:p>
        </w:tc>
      </w:tr>
      <w:tr>
        <w:trPr>
          <w:trHeight w:val="160"/>
        </w:trPr>
        <w:tc>
          <w:tcPr>
            <w:tcW w:w="8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2029</w:t>
            </w:r>
          </w:p>
        </w:tc>
        <w:tc>
          <w:tcPr>
            <w:tcW w:w="25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410.9</w:t>
            </w:r>
          </w:p>
        </w:tc>
        <w:tc>
          <w:tcPr>
            <w:tcW w:w="60" w:type="dxa"/>
            <w:vAlign w:val="bottom"/>
          </w:tcPr>
          <w:p>
            <w:pPr>
              <w:spacing w:after="0"/>
              <w:rPr>
                <w:sz w:val="13"/>
                <w:szCs w:val="13"/>
                <w:color w:val="auto"/>
              </w:rPr>
            </w:pPr>
          </w:p>
        </w:tc>
      </w:tr>
      <w:tr>
        <w:trPr>
          <w:trHeight w:val="160"/>
        </w:trPr>
        <w:tc>
          <w:tcPr>
            <w:tcW w:w="8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2030</w:t>
            </w:r>
          </w:p>
        </w:tc>
        <w:tc>
          <w:tcPr>
            <w:tcW w:w="25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385.3</w:t>
            </w:r>
          </w:p>
        </w:tc>
        <w:tc>
          <w:tcPr>
            <w:tcW w:w="60" w:type="dxa"/>
            <w:vAlign w:val="bottom"/>
            <w:shd w:val="clear" w:color="auto" w:fill="CCEEFF"/>
          </w:tcPr>
          <w:p>
            <w:pPr>
              <w:spacing w:after="0"/>
              <w:rPr>
                <w:sz w:val="13"/>
                <w:szCs w:val="13"/>
                <w:color w:val="auto"/>
              </w:rPr>
            </w:pPr>
          </w:p>
        </w:tc>
      </w:tr>
      <w:tr>
        <w:trPr>
          <w:trHeight w:val="140"/>
        </w:trPr>
        <w:tc>
          <w:tcPr>
            <w:tcW w:w="820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auto"/>
              </w:rPr>
              <w:t>Thereafter</w:t>
            </w:r>
          </w:p>
        </w:tc>
        <w:tc>
          <w:tcPr>
            <w:tcW w:w="25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3"/>
                <w:szCs w:val="13"/>
                <w:color w:val="auto"/>
              </w:rPr>
              <w:t>799.7</w:t>
            </w:r>
          </w:p>
        </w:tc>
        <w:tc>
          <w:tcPr>
            <w:tcW w:w="60" w:type="dxa"/>
            <w:vAlign w:val="bottom"/>
          </w:tcPr>
          <w:p>
            <w:pPr>
              <w:spacing w:after="0"/>
              <w:rPr>
                <w:sz w:val="12"/>
                <w:szCs w:val="12"/>
                <w:color w:val="auto"/>
              </w:rPr>
            </w:pPr>
          </w:p>
        </w:tc>
      </w:tr>
      <w:tr>
        <w:trPr>
          <w:trHeight w:val="140"/>
        </w:trPr>
        <w:tc>
          <w:tcPr>
            <w:tcW w:w="8200" w:type="dxa"/>
            <w:vAlign w:val="bottom"/>
            <w:tcBorders>
              <w:bottom w:val="single" w:sz="8" w:color="CCEEFF"/>
            </w:tcBorders>
            <w:shd w:val="clear" w:color="auto" w:fill="CCEEFF"/>
          </w:tcPr>
          <w:p>
            <w:pPr>
              <w:ind w:left="80"/>
              <w:spacing w:after="0" w:line="140" w:lineRule="exact"/>
              <w:rPr>
                <w:sz w:val="20"/>
                <w:szCs w:val="20"/>
                <w:color w:val="auto"/>
              </w:rPr>
            </w:pPr>
            <w:r>
              <w:rPr>
                <w:rFonts w:ascii="Times New Roman" w:cs="Times New Roman" w:eastAsia="Times New Roman" w:hAnsi="Times New Roman"/>
                <w:sz w:val="13"/>
                <w:szCs w:val="13"/>
                <w:b w:val="1"/>
                <w:bCs w:val="1"/>
                <w:color w:val="auto"/>
              </w:rPr>
              <w:t>Total</w:t>
            </w:r>
          </w:p>
        </w:tc>
        <w:tc>
          <w:tcPr>
            <w:tcW w:w="2500" w:type="dxa"/>
            <w:vAlign w:val="bottom"/>
            <w:tcBorders>
              <w:bottom w:val="single" w:sz="8" w:color="auto"/>
            </w:tcBorders>
            <w:shd w:val="clear" w:color="auto" w:fill="CCEEFF"/>
          </w:tcPr>
          <w:p>
            <w:pPr>
              <w:jc w:val="right"/>
              <w:ind w:right="53"/>
              <w:spacing w:after="0" w:line="140"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b w:val="1"/>
                <w:bCs w:val="1"/>
                <w:color w:val="auto"/>
              </w:rPr>
              <w:t>2,757.1</w:t>
            </w:r>
          </w:p>
        </w:tc>
        <w:tc>
          <w:tcPr>
            <w:tcW w:w="60" w:type="dxa"/>
            <w:vAlign w:val="bottom"/>
            <w:tcBorders>
              <w:bottom w:val="single" w:sz="8" w:color="CCEEFF"/>
            </w:tcBorders>
            <w:shd w:val="clear" w:color="auto" w:fill="CCEEFF"/>
          </w:tcPr>
          <w:p>
            <w:pPr>
              <w:spacing w:after="0"/>
              <w:rPr>
                <w:sz w:val="12"/>
                <w:szCs w:val="12"/>
                <w:color w:val="auto"/>
              </w:rPr>
            </w:pPr>
          </w:p>
        </w:tc>
      </w:tr>
    </w:tbl>
    <w:p>
      <w:pPr>
        <w:spacing w:after="0" w:line="147"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Because we generally distribute all of our cash on hand at the end of each quarter after provision for reserves, we generally rely upon external financing sources, including bank borrowings and equity and debt securities offerings, to fund replacement, expansion and investment capital expenditures, and to refinance or repay outstanding indebtedness.</w:t>
      </w:r>
    </w:p>
    <w:p>
      <w:pPr>
        <w:spacing w:after="0" w:line="114"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94</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95" w:name="page96"/>
    <w:bookmarkEnd w:id="95"/>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Our ability to maintain and grow our asset base, including through further dropdown opportunities from Capital Maritime and its affiliates or acquisitions from third parties, and to pay or increase our dividends as well as tomaintain a strong balance sheet depends on, among other things, our ability to obtain required financing, access financial markets and refinance part or all of our existing indebtedness on commercially acceptable terms.</w:t>
      </w:r>
    </w:p>
    <w:p>
      <w:pPr>
        <w:spacing w:after="0" w:line="1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Subject to our ability to obtain required financing and access financial markets, we expect to continue to evaluate opportunities to acquire vessels and businesses.</w:t>
      </w:r>
    </w:p>
    <w:p>
      <w:pPr>
        <w:spacing w:after="0" w:line="170"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As of December 31, 2025, total shareholders’ equity amounted to $1,499.4 million, an increase of $156.4 million compared to $1,343.0 million as of December 31, 2024. The increase reflects net income from operations of $170.8 million for the year ended December 31, 2025, the amortization associated with the equity incentive plan of $5.8 million, net proceeds of $0.2 million under the Company’s ATM Program and $16.4 million of common shares issued under our DRIP net of expenses, partly offset by dividends declared during the year for a total amount of $35.5 million and other comprehensive loss of $1.3 million relating to the net effect of the cross-currency swap agreement we designated as an accounting hedge. Please see “Item 4. Information on the Company—A. History and Development of the Company” and “Item 16. —E. Purchases of Equity Securities by the Issuer and Affiliated Purchasers” for further detail on the Dividend Reinvestment Plan.</w:t>
      </w:r>
    </w:p>
    <w:p>
      <w:pPr>
        <w:spacing w:after="0" w:line="133"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On November 13, 2023, we entered into the Umbrella Agreement with Capital Maritime and CGP LLC, which provides for the acquisition by the Company of the Umbrella Agreement Vessels from Capital Maritime for a total acquisition price of $3,130.0 million. On December 21, 2023, we closed the Umbrella Agreement and entered into 11 Vessel SPAs to acquire 100% of the equity interests in each vessel-owning company of the Umbrella Agreement Vessels. We closed the Vessel SPA for the LNG/C Amore Mio I concurrently with the closing of the Umbrella Agreement.</w:t>
      </w:r>
    </w:p>
    <w:p>
      <w:pPr>
        <w:spacing w:after="0" w:line="117" w:lineRule="exact"/>
        <w:rPr>
          <w:sz w:val="20"/>
          <w:szCs w:val="20"/>
          <w:color w:val="auto"/>
        </w:rPr>
      </w:pPr>
    </w:p>
    <w:p>
      <w:pPr>
        <w:jc w:val="both"/>
        <w:ind w:firstLine="479"/>
        <w:spacing w:after="0" w:line="235" w:lineRule="auto"/>
        <w:rPr>
          <w:sz w:val="20"/>
          <w:szCs w:val="20"/>
          <w:color w:val="auto"/>
        </w:rPr>
      </w:pPr>
      <w:r>
        <w:rPr>
          <w:rFonts w:ascii="Times New Roman" w:cs="Times New Roman" w:eastAsia="Times New Roman" w:hAnsi="Times New Roman"/>
          <w:sz w:val="13"/>
          <w:szCs w:val="13"/>
          <w:color w:val="auto"/>
        </w:rPr>
        <w:t>Upon entry into the Vessel SPAs for the Initial Vessels, namely the LNG/C vessels Axios II, Assos, Apostolos, Aktoras, Archimidis and Agamemnon, we paid to Capital Maritime a deposit of $174.4 million, or 10% of the aggregate acquisition price of such Initial Vessels. We closed the Vessel SPAs for the LNG/C Axios II, LNG/C Assos, LNG/C Aktoras, and LNG/C Apostolos in the first half of 2024 and we expect to complete the remaining acquisitions of each of the vessel-owning companies of the Initial Vessels upon each vessel’s delivery from Hyundai. The remaining purchase price with respect to each Initial Vessel will be paid upon delivery of such vessel and closing of the applicable Vessel SPA, with a total of $489.3 million remaining due for the Initial Vessels. Upon delivery, each of the vessel-owning companies of the LNG/C Axios II, the LNG/C Assos and the LNG/C Apostolos entered into a floating fee management agreement and the vessel-owning company of the LNG/C Aktoras entered into a fixed fee management agreement, in each case, with Capital-Gas Management.</w:t>
      </w:r>
    </w:p>
    <w:p>
      <w:pPr>
        <w:spacing w:after="0" w:line="150" w:lineRule="exact"/>
        <w:rPr>
          <w:sz w:val="20"/>
          <w:szCs w:val="20"/>
          <w:color w:val="auto"/>
        </w:rPr>
      </w:pPr>
    </w:p>
    <w:p>
      <w:pPr>
        <w:jc w:val="both"/>
        <w:ind w:firstLine="479"/>
        <w:spacing w:after="0" w:line="272" w:lineRule="auto"/>
        <w:rPr>
          <w:sz w:val="20"/>
          <w:szCs w:val="20"/>
          <w:color w:val="auto"/>
        </w:rPr>
      </w:pPr>
      <w:r>
        <w:rPr>
          <w:rFonts w:ascii="Times New Roman" w:cs="Times New Roman" w:eastAsia="Times New Roman" w:hAnsi="Times New Roman"/>
          <w:sz w:val="13"/>
          <w:szCs w:val="13"/>
          <w:color w:val="auto"/>
        </w:rPr>
        <w:t>Upon entry into the Vessel SPAs for the Remaining Vessels, namely the LNG/C Alcaios I, Antaios I, Athlos and Archon, the Company paid Capital Maritime $138.1 million to acquire 100% of the equity interests in each of the vessel-owning companies of such Remaining Vessels, which are expected to be delivered to the Company between the third quarter of 2026 and the first quarter of 2027. In addition to $390.2 million that we have paid to-date to Capital Maritime and Hyundai, we expect to pay an additional amount of $657.8 million to Hyundai in pre-delivery and delivery installments for the Remaining Vessels.</w:t>
      </w:r>
    </w:p>
    <w:p>
      <w:pPr>
        <w:spacing w:after="0" w:line="280" w:lineRule="exact"/>
        <w:rPr>
          <w:sz w:val="20"/>
          <w:szCs w:val="20"/>
          <w:color w:val="auto"/>
        </w:rPr>
      </w:pPr>
    </w:p>
    <w:p>
      <w:pPr>
        <w:jc w:val="both"/>
        <w:ind w:firstLine="479"/>
        <w:spacing w:after="0" w:line="237" w:lineRule="auto"/>
        <w:rPr>
          <w:sz w:val="20"/>
          <w:szCs w:val="20"/>
          <w:color w:val="auto"/>
        </w:rPr>
      </w:pPr>
      <w:r>
        <w:rPr>
          <w:rFonts w:ascii="Times New Roman" w:cs="Times New Roman" w:eastAsia="Times New Roman" w:hAnsi="Times New Roman"/>
          <w:sz w:val="13"/>
          <w:szCs w:val="13"/>
          <w:color w:val="auto"/>
        </w:rPr>
        <w:t>On June 3, 2024, we announced an investment in the Gas Fleet for a total amount of $756.0 million, with expected deliveries between the first quarter of 2026 and the third quarter of 2027. On June 17, 2024, and upon entry into 10 separate share purchase agreements with Capital Maritime, we paid to Capital Maritime $74.7 million to acquire 100% of the equity interests in each of the vessel-owning companies of the Gas Fleet, representing advances made to the shipyards by Capital Maritime under certain of the ship building contracts and a premium of $11.5 million. In addition to $315.4 million that we have paid to-date to Capital Maritime and the shipyards, we expect to pay an additional amount of $440.6 million to shipyards in pre-delivery and delivery installments for the Gas Fleet.</w:t>
      </w:r>
    </w:p>
    <w:p>
      <w:pPr>
        <w:spacing w:after="0" w:line="148"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On December 29, 2025, we announced an investment in three latest technology LNG/C vessels to be built at Hyundai for a total price of $769.5 million, with expected deliveries in the third quarter of 2028 and the first quarter of 2029. In addition to $37.0 million that we have paid to-date, we expect to pay an additional amount of $707.0 million to Hyundai in pre-delivery and delivery installments.</w:t>
      </w:r>
    </w:p>
    <w:p>
      <w:pPr>
        <w:spacing w:after="0" w:line="114"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95</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96" w:name="page97"/>
    <w:bookmarkEnd w:id="96"/>
    <w:p>
      <w:pPr>
        <w:jc w:val="both"/>
        <w:ind w:firstLine="479"/>
        <w:spacing w:after="0" w:line="229" w:lineRule="auto"/>
        <w:rPr>
          <w:sz w:val="20"/>
          <w:szCs w:val="20"/>
          <w:color w:val="auto"/>
        </w:rPr>
      </w:pPr>
      <w:r>
        <w:rPr>
          <w:rFonts w:ascii="Times New Roman" w:cs="Times New Roman" w:eastAsia="Times New Roman" w:hAnsi="Times New Roman"/>
          <w:sz w:val="13"/>
          <w:szCs w:val="13"/>
          <w:color w:val="auto"/>
        </w:rPr>
        <w:t>On January 5, 2026, we took delivery of the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 HMG/C Active. The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 HMG/C Active is the first vessel in our Gas Fleet to be delivered to the Company and is the world’s first 22,000 CBM low-pressure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carrier. The acquisition of the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 HMG/C Active was financed with $29.4 million of cash on hand and a 12-year loan of $48.9 million. The loan is repayable in 48 quarterly instalments of $0.6 million, with a balloon payment of $18.0 million payable with the final instalment in December 2037. The Company may borrow an additional amount of up to $7.5 million if the vessel secures longer term employment.</w:t>
      </w:r>
    </w:p>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As of the date of this Annual Report ort our commitments relating to acquisitions of vessels and our Under Construction Fleet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40" w:type="dxa"/>
            <w:vAlign w:val="bottom"/>
            <w:gridSpan w:val="6"/>
          </w:tcPr>
          <w:p>
            <w:pPr>
              <w:jc w:val="right"/>
              <w:ind w:right="313"/>
              <w:spacing w:after="0"/>
              <w:rPr>
                <w:sz w:val="20"/>
                <w:szCs w:val="20"/>
                <w:color w:val="auto"/>
              </w:rPr>
            </w:pPr>
            <w:r>
              <w:rPr>
                <w:rFonts w:ascii="Times New Roman" w:cs="Times New Roman" w:eastAsia="Times New Roman" w:hAnsi="Times New Roman"/>
                <w:sz w:val="12"/>
                <w:szCs w:val="12"/>
                <w:b w:val="1"/>
                <w:bCs w:val="1"/>
                <w:color w:val="auto"/>
              </w:rPr>
              <w:t>In millions of United States Dollars $</w:t>
            </w:r>
          </w:p>
        </w:tc>
        <w:tc>
          <w:tcPr>
            <w:tcW w:w="860" w:type="dxa"/>
            <w:vAlign w:val="bottom"/>
          </w:tcPr>
          <w:p>
            <w:pPr>
              <w:spacing w:after="0"/>
              <w:rPr>
                <w:sz w:val="14"/>
                <w:szCs w:val="14"/>
                <w:color w:val="auto"/>
              </w:rPr>
            </w:pPr>
          </w:p>
        </w:tc>
      </w:tr>
      <w:tr>
        <w:trPr>
          <w:trHeight w:val="152"/>
        </w:trPr>
        <w:tc>
          <w:tcPr>
            <w:tcW w:w="70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Vessels’</w:t>
            </w:r>
          </w:p>
        </w:tc>
        <w:tc>
          <w:tcPr>
            <w:tcW w:w="2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Vessels under</w:t>
            </w: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74"/>
        </w:trPr>
        <w:tc>
          <w:tcPr>
            <w:tcW w:w="7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Year ending December 31,</w:t>
            </w:r>
          </w:p>
        </w:tc>
        <w:tc>
          <w:tcPr>
            <w:tcW w:w="3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acquisitions</w:t>
            </w: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construction</w:t>
            </w: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0"/>
        </w:trPr>
        <w:tc>
          <w:tcPr>
            <w:tcW w:w="7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2026</w:t>
            </w:r>
          </w:p>
        </w:tc>
        <w:tc>
          <w:tcPr>
            <w:tcW w:w="3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244.4</w:t>
            </w: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619.1</w:t>
            </w:r>
          </w:p>
        </w:tc>
        <w:tc>
          <w:tcPr>
            <w:tcW w:w="12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863.5</w:t>
            </w:r>
          </w:p>
        </w:tc>
      </w:tr>
      <w:tr>
        <w:trPr>
          <w:trHeight w:val="160"/>
        </w:trPr>
        <w:tc>
          <w:tcPr>
            <w:tcW w:w="7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2027</w:t>
            </w: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245.5</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577.9</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823.4</w:t>
            </w:r>
          </w:p>
        </w:tc>
      </w:tr>
      <w:tr>
        <w:trPr>
          <w:trHeight w:val="160"/>
        </w:trPr>
        <w:tc>
          <w:tcPr>
            <w:tcW w:w="7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2028</w:t>
            </w:r>
          </w:p>
        </w:tc>
        <w:tc>
          <w:tcPr>
            <w:tcW w:w="3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235.7</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235.7</w:t>
            </w:r>
          </w:p>
        </w:tc>
      </w:tr>
      <w:tr>
        <w:trPr>
          <w:trHeight w:val="160"/>
        </w:trPr>
        <w:tc>
          <w:tcPr>
            <w:tcW w:w="7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2029</w:t>
            </w:r>
          </w:p>
        </w:tc>
        <w:tc>
          <w:tcPr>
            <w:tcW w:w="3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372.7</w:t>
            </w:r>
          </w:p>
        </w:tc>
        <w:tc>
          <w:tcPr>
            <w:tcW w:w="12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372.7</w:t>
            </w:r>
          </w:p>
        </w:tc>
      </w:tr>
      <w:tr>
        <w:trPr>
          <w:trHeight w:val="141"/>
        </w:trPr>
        <w:tc>
          <w:tcPr>
            <w:tcW w:w="704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b w:val="1"/>
                <w:bCs w:val="1"/>
                <w:color w:val="auto"/>
              </w:rPr>
              <w:t>Total</w:t>
            </w:r>
          </w:p>
        </w:tc>
        <w:tc>
          <w:tcPr>
            <w:tcW w:w="340" w:type="dxa"/>
            <w:vAlign w:val="bottom"/>
          </w:tcPr>
          <w:p>
            <w:pPr>
              <w:jc w:val="right"/>
              <w:ind w:right="133"/>
              <w:spacing w:after="0" w:line="141"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Pr>
          <w:p>
            <w:pPr>
              <w:jc w:val="right"/>
              <w:ind w:right="74"/>
              <w:spacing w:after="0" w:line="141" w:lineRule="exact"/>
              <w:rPr>
                <w:sz w:val="20"/>
                <w:szCs w:val="20"/>
                <w:color w:val="auto"/>
              </w:rPr>
            </w:pPr>
            <w:r>
              <w:rPr>
                <w:rFonts w:ascii="Times New Roman" w:cs="Times New Roman" w:eastAsia="Times New Roman" w:hAnsi="Times New Roman"/>
                <w:sz w:val="13"/>
                <w:szCs w:val="13"/>
                <w:b w:val="1"/>
                <w:bCs w:val="1"/>
                <w:color w:val="auto"/>
              </w:rPr>
              <w:t>489.9</w:t>
            </w:r>
          </w:p>
        </w:tc>
        <w:tc>
          <w:tcPr>
            <w:tcW w:w="120" w:type="dxa"/>
            <w:vAlign w:val="bottom"/>
          </w:tcPr>
          <w:p>
            <w:pPr>
              <w:spacing w:after="0"/>
              <w:rPr>
                <w:sz w:val="12"/>
                <w:szCs w:val="12"/>
                <w:color w:val="auto"/>
              </w:rPr>
            </w:pPr>
          </w:p>
        </w:tc>
        <w:tc>
          <w:tcPr>
            <w:tcW w:w="280" w:type="dxa"/>
            <w:vAlign w:val="bottom"/>
          </w:tcPr>
          <w:p>
            <w:pPr>
              <w:jc w:val="right"/>
              <w:ind w:right="73"/>
              <w:spacing w:after="0" w:line="141"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Pr>
          <w:p>
            <w:pPr>
              <w:jc w:val="right"/>
              <w:ind w:right="73"/>
              <w:spacing w:after="0" w:line="141" w:lineRule="exact"/>
              <w:rPr>
                <w:sz w:val="20"/>
                <w:szCs w:val="20"/>
                <w:color w:val="auto"/>
              </w:rPr>
            </w:pPr>
            <w:r>
              <w:rPr>
                <w:rFonts w:ascii="Times New Roman" w:cs="Times New Roman" w:eastAsia="Times New Roman" w:hAnsi="Times New Roman"/>
                <w:sz w:val="13"/>
                <w:szCs w:val="13"/>
                <w:b w:val="1"/>
                <w:bCs w:val="1"/>
                <w:color w:val="auto"/>
              </w:rPr>
              <w:t>1,805.4</w:t>
            </w:r>
          </w:p>
        </w:tc>
        <w:tc>
          <w:tcPr>
            <w:tcW w:w="120" w:type="dxa"/>
            <w:vAlign w:val="bottom"/>
          </w:tcPr>
          <w:p>
            <w:pPr>
              <w:spacing w:after="0"/>
              <w:rPr>
                <w:sz w:val="12"/>
                <w:szCs w:val="12"/>
                <w:color w:val="auto"/>
              </w:rPr>
            </w:pPr>
          </w:p>
        </w:tc>
        <w:tc>
          <w:tcPr>
            <w:tcW w:w="460" w:type="dxa"/>
            <w:vAlign w:val="bottom"/>
          </w:tcPr>
          <w:p>
            <w:pPr>
              <w:jc w:val="right"/>
              <w:ind w:right="253"/>
              <w:spacing w:after="0" w:line="141"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right"/>
              <w:ind w:right="73"/>
              <w:spacing w:after="0" w:line="141" w:lineRule="exact"/>
              <w:rPr>
                <w:sz w:val="20"/>
                <w:szCs w:val="20"/>
                <w:color w:val="auto"/>
              </w:rPr>
            </w:pPr>
            <w:r>
              <w:rPr>
                <w:rFonts w:ascii="Times New Roman" w:cs="Times New Roman" w:eastAsia="Times New Roman" w:hAnsi="Times New Roman"/>
                <w:sz w:val="13"/>
                <w:szCs w:val="13"/>
                <w:b w:val="1"/>
                <w:bCs w:val="1"/>
                <w:color w:val="auto"/>
              </w:rPr>
              <w:t>2,295.3</w:t>
            </w:r>
          </w:p>
        </w:tc>
      </w:tr>
    </w:tbl>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Our short-term liquidity requirements include paying operating costs, funding working capital requirements and the short-term portion of the cost of our Under Construction Fleet, interest and principal payments on short-term outstanding indebtedness and maintaining cash reserves to strengthen our position against adverse fluctuations in operating cash flows. Our primary source of short-term liquidity is cash generated from operating activities, available cash balances and portions from issuance of new debt and refinancings as well as equity issuances.</w:t>
      </w:r>
    </w:p>
    <w:p>
      <w:pPr>
        <w:spacing w:after="0" w:line="133"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Our medium- and long-term liquidity requirements are funding the equity portion of the cost of our Under Construction Fleet, funding required payments under our financing agreements and paying cash dividends when declared. Sources of funding for our medium- and long-term liquidity requirements include cash flows from operations, issuance of new debt and refinancings or equity issuances.</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Subject to shipping, charter and financial market developments, we believe that our working capital is sufficient to meet our existing liquidity needs for at least the next 12 months from December 31,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2025.</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For more information on our anticipated future cash requirements and resources please refer to Note 8 (Long-Term Debt) and Note 17 (Commitments and Contingencies) to our Financial Statements.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Cash Flows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following table summarizes our cash and cash equivalents provided by / (used in) operating, financing and investing activities from continuing operations for the years presented below,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tcPr>
          <w:p>
            <w:pPr>
              <w:spacing w:after="0"/>
              <w:rPr>
                <w:sz w:val="15"/>
                <w:szCs w:val="15"/>
                <w:color w:val="auto"/>
              </w:rPr>
            </w:pPr>
          </w:p>
        </w:tc>
        <w:tc>
          <w:tcPr>
            <w:tcW w:w="9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5"/>
                <w:szCs w:val="15"/>
                <w:color w:val="auto"/>
              </w:rPr>
            </w:pPr>
          </w:p>
        </w:tc>
      </w:tr>
      <w:tr>
        <w:trPr>
          <w:trHeight w:val="150"/>
        </w:trPr>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 Cash Provided by Operating Activities of Continuing Operations</w:t>
            </w:r>
          </w:p>
        </w:tc>
        <w:tc>
          <w:tcPr>
            <w:tcW w:w="2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232.8</w:t>
            </w:r>
          </w:p>
        </w:tc>
        <w:tc>
          <w:tcPr>
            <w:tcW w:w="3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184.8</w:t>
            </w:r>
          </w:p>
        </w:tc>
        <w:tc>
          <w:tcPr>
            <w:tcW w:w="2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85.8</w:t>
            </w:r>
          </w:p>
        </w:tc>
        <w:tc>
          <w:tcPr>
            <w:tcW w:w="60" w:type="dxa"/>
            <w:vAlign w:val="bottom"/>
            <w:shd w:val="clear" w:color="auto" w:fill="CCEEFF"/>
          </w:tcPr>
          <w:p>
            <w:pPr>
              <w:spacing w:after="0"/>
              <w:rPr>
                <w:sz w:val="13"/>
                <w:szCs w:val="13"/>
                <w:color w:val="auto"/>
              </w:rPr>
            </w:pPr>
          </w:p>
        </w:tc>
      </w:tr>
      <w:tr>
        <w:trPr>
          <w:trHeight w:val="160"/>
        </w:trPr>
        <w:tc>
          <w:tcPr>
            <w:tcW w:w="6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Cash (Used in) Investing Activities of Continuing Operations</w:t>
            </w:r>
          </w:p>
        </w:tc>
        <w:tc>
          <w:tcPr>
            <w:tcW w:w="21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(314.8)</w:t>
            </w:r>
          </w:p>
        </w:tc>
        <w:tc>
          <w:tcPr>
            <w:tcW w:w="3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(1,201.2)</w:t>
            </w:r>
          </w:p>
        </w:tc>
        <w:tc>
          <w:tcPr>
            <w:tcW w:w="2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(314.6)</w:t>
            </w:r>
          </w:p>
        </w:tc>
        <w:tc>
          <w:tcPr>
            <w:tcW w:w="60" w:type="dxa"/>
            <w:vAlign w:val="bottom"/>
          </w:tcPr>
          <w:p>
            <w:pPr>
              <w:spacing w:after="0"/>
              <w:rPr>
                <w:sz w:val="13"/>
                <w:szCs w:val="13"/>
                <w:color w:val="auto"/>
              </w:rPr>
            </w:pPr>
          </w:p>
        </w:tc>
      </w:tr>
      <w:tr>
        <w:trPr>
          <w:trHeight w:val="160"/>
        </w:trPr>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 Cash (Used in)/Provided by Financing Activities of Continuing Operations</w:t>
            </w:r>
          </w:p>
        </w:tc>
        <w:tc>
          <w:tcPr>
            <w:tcW w:w="2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(97.2)</w:t>
            </w:r>
          </w:p>
        </w:tc>
        <w:tc>
          <w:tcPr>
            <w:tcW w:w="3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753.9</w:t>
            </w:r>
          </w:p>
        </w:tc>
        <w:tc>
          <w:tcPr>
            <w:tcW w:w="2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251.1</w:t>
            </w:r>
          </w:p>
        </w:tc>
        <w:tc>
          <w:tcPr>
            <w:tcW w:w="60" w:type="dxa"/>
            <w:vAlign w:val="bottom"/>
            <w:shd w:val="clear" w:color="auto" w:fill="CCEEFF"/>
          </w:tcPr>
          <w:p>
            <w:pPr>
              <w:spacing w:after="0"/>
              <w:rPr>
                <w:sz w:val="13"/>
                <w:szCs w:val="13"/>
                <w:color w:val="auto"/>
              </w:rPr>
            </w:pP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 of Continuing Operations</w:t>
      </w:r>
    </w:p>
    <w:p>
      <w:pPr>
        <w:spacing w:after="0" w:line="172"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Net cash provided by operating activities of continuing operations was $232.8 million for the year ended December 31, 2025 compared to $184.8 million for the year ended December 31, 2024. The increase of $48.0 million was mainly attributable to the increase in revenues, the increase in net amounts due to related parties, the decrease in interest expense and finance costs and the increase in inventories, partly offset by the increase in vessel operating expenses, the decrease in trade payables, accrued and other liabilities, and in revenue received in advance and the decrease in trade accounts receivables, in prepayments and other assets and dry-docking costs paid.</w:t>
      </w:r>
    </w:p>
    <w:p>
      <w:pPr>
        <w:spacing w:after="0" w:line="131"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96</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49" w:right="319" w:bottom="1440" w:gutter="0" w:footer="0" w:header="0"/>
        </w:sectPr>
      </w:pPr>
    </w:p>
    <w:bookmarkStart w:id="97" w:name="page98"/>
    <w:bookmarkEnd w:id="97"/>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Net cash provided by operating activities was $184.8 million for the year ended December 31, 2024, compared to $85.8 million for the year ended December 31, 2023. The increase of $99.0 million was mainly attributable to the increase in revenues due to the net increase in the average number of vessels in our fleet, the increase in trade payables and accrued and other liabilities, partly offset by the increase in inventories, the decrease in revenues received in advance, the increase in vessel operating expenses due to the net increase in the average number of vessels in our fleet and the increase in interest expense and finance costs.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 of Continuing Operations</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Net cash used in investing activities of continuing operations refers primarily to cash used for vessel acquisitions, amounts paid for vessels under construction and improvements, partly offset by proceeds from the sale of vessels.</w:t>
      </w:r>
    </w:p>
    <w:p>
      <w:pPr>
        <w:spacing w:after="0" w:line="11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Net cash used in investing activities of continuing operations for the year ended December 31, 2025, amounted to $314.8 million. During the year ended December 31, 2025, we paid $315.1 million in advances for vessels under construction and for vessel improvements, and $0.2 million for expenses relating to the sale of vessels and we received $0.6 million from insurance claims for damaged equipment.</w:t>
      </w:r>
    </w:p>
    <w:p>
      <w:pPr>
        <w:spacing w:after="0" w:line="114"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Net cash used in investing activities of continuing operations for the year ended December 31, 2024, amounted to $1,201.2 million. During the year ended December 31, 2024, we paid $948.8 million to acquire the shares of the companies owning the LNG/C Axios II, the LNG/C Aktoras, the LNG/C Apostolos and the LNG/C Assos and we paid advances for vessels under construction of $249.9 million, paid $2.3 million for vessel improvements and $0.2 million for expenses relating to the sale of vessels.</w:t>
      </w:r>
    </w:p>
    <w:p>
      <w:pPr>
        <w:spacing w:after="0" w:line="127"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Net cash used in investing activities of continuing operations for the year ended December 31, 2023, amounted to $314.6 million. During the year ended December 31, 2023 we paid $116.5 million for the acquisition of the shares of the company owning the M/V Itajai Express, $218.0 million for the acquisition of the LNG/C Asterix I and $1.9 million for vessel improvements partly offset by net proceeds of $21.8 million received from the sale of the M/V Cape Agamemnon.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Net Cash (Used in)/Provided by Financing Activities of Continuing Operations</w:t>
      </w:r>
    </w:p>
    <w:p>
      <w:pPr>
        <w:spacing w:after="0" w:line="172" w:lineRule="exact"/>
        <w:rPr>
          <w:sz w:val="20"/>
          <w:szCs w:val="20"/>
          <w:color w:val="auto"/>
        </w:rPr>
      </w:pPr>
    </w:p>
    <w:p>
      <w:pPr>
        <w:jc w:val="both"/>
        <w:ind w:firstLine="479"/>
        <w:spacing w:after="0" w:line="218" w:lineRule="auto"/>
        <w:rPr>
          <w:sz w:val="20"/>
          <w:szCs w:val="20"/>
          <w:color w:val="auto"/>
        </w:rPr>
      </w:pPr>
      <w:r>
        <w:rPr>
          <w:rFonts w:ascii="Times New Roman" w:cs="Times New Roman" w:eastAsia="Times New Roman" w:hAnsi="Times New Roman"/>
          <w:sz w:val="13"/>
          <w:szCs w:val="13"/>
          <w:color w:val="auto"/>
        </w:rPr>
        <w:t>Net cash used in financing activities of continuing operations for the year ended December 31, 2025, was $97.2 million representing cash proceeds of $44.5 million from the issuance of a new financing arrangement that we entered into in order to partly finance the construction cost of the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 HMG/C Active and $0.2 million from our ATM program, offset by $120.9 million in total of long term debt principal payments, $1.5 million and $0.5 million we paid in financing and offering costs, and $19.0 million of dividends we paid to our shareholders.</w:t>
      </w:r>
    </w:p>
    <w:p>
      <w:pPr>
        <w:spacing w:after="0" w:line="147"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Net cash provided by financing activities of continuing operations for the year ended December 31, 2024, was $753.9 million representing cash proceeds of $1,582.0 million from the issuance of eight new financing arrangements that we entered into in order to partly finance the acquisition of the shares of the companies owning the LNG/C Axios II, the LNG/C Apostolos, the LNG/C Aktoras, the LNG/C Assos, and the refinancing of the LNG/C Apostolos, the LNG/C Arisitidis I, the LNG/C Attalos and the LNG/C Asklipios partly offset by the amounts we paid:</w:t>
      </w:r>
    </w:p>
    <w:p>
      <w:pPr>
        <w:spacing w:after="0" w:line="127" w:lineRule="exact"/>
        <w:rPr>
          <w:sz w:val="20"/>
          <w:szCs w:val="20"/>
          <w:color w:val="auto"/>
        </w:rPr>
      </w:pPr>
    </w:p>
    <w:p>
      <w:pPr>
        <w:ind w:left="960" w:hanging="481"/>
        <w:spacing w:after="0"/>
        <w:tabs>
          <w:tab w:leader="none" w:pos="960" w:val="left"/>
        </w:tabs>
        <w:numPr>
          <w:ilvl w:val="0"/>
          <w:numId w:val="7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$104.4 million for scheduled principal payments on our financing arrangements;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7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$541.8 million representing the amounts we repaid on the re-financings of the LNG/C Apostolos, the LNG/C Arisitidis I, the LNG/C Attalos and the LNG/C Asklipios;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7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$134.8 million representing the full repayment of the Seller’s Credit;</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7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$12.9 million in financing and offering costs;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7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$0.5 million of costs related to the Rights Offering; and</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7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$33.8 million of dividends to our shareholders.</w:t>
      </w:r>
    </w:p>
    <w:p>
      <w:pPr>
        <w:spacing w:after="0" w:line="169"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97</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98" w:name="page99"/>
    <w:bookmarkEnd w:id="98"/>
    <w:p>
      <w:pPr>
        <w:jc w:val="both"/>
        <w:ind w:firstLine="479"/>
        <w:spacing w:after="0" w:line="242" w:lineRule="auto"/>
        <w:rPr>
          <w:sz w:val="20"/>
          <w:szCs w:val="20"/>
          <w:color w:val="auto"/>
        </w:rPr>
      </w:pPr>
      <w:r>
        <w:rPr>
          <w:rFonts w:ascii="Times New Roman" w:cs="Times New Roman" w:eastAsia="Times New Roman" w:hAnsi="Times New Roman"/>
          <w:sz w:val="13"/>
          <w:szCs w:val="13"/>
          <w:color w:val="auto"/>
        </w:rPr>
        <w:t>Net cash provided by financing activities of continuing operations for the year ended December 31, 2023, was $251.1 million representing mainly cash proceeds of $292.0 million from two new financing arrangements that we entered into in order to partly finance the acquisition of the shares of the companies owning the M/V Itajai Express and the LNG/C Asterix I and $45.0 million of net proceeds from the issuance of units under the Rights Offering, partly offset by $2.5 million of financing costs paid, $67.0 million of scheduled principal payments, $4.1 million paid to acquire common units under our Unit Repurchase Program and $12.2 million of dividends to our unitholders.</w:t>
      </w:r>
    </w:p>
    <w:p>
      <w:pPr>
        <w:spacing w:after="0" w:line="136"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On June 10, 2025, we announced our DRIP. The DRIP is open to our existing shareholders and investors who will become our shareholders in the future outside of the DRIP. During the year ended December 31, 2025, the Company issued 761,074 common shares under the DRIP at an average price of $21.60 per share, net of issuance costs. During the year ended December 31, 2025, we recognized deferred offering expenses of $0.2 million relating to the DRIP.</w:t>
      </w:r>
    </w:p>
    <w:p>
      <w:pPr>
        <w:spacing w:after="0" w:line="127"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On January 27, 2025, we entered into the Sales Agreement, under which we may sell, from time to time through Jefferies LLC, as our sales agent, new common shares having an aggregate offering amount of up to $75.0 million as part of our ATM Program. We intend to use the net proceeds from the sales of new common shares, after deducting the sales agent’s commissions and our offering expenses, for general corporate purposes, which may include, among other things, the acquisition of new vessels, the repayment or refinancing of all or a portion of our outstanding indebtedness and funding of working capital requirements or capital expenditures. During the year ended December 31, 2025, we issued 9,466 new common shares pursuant to the Sales Agreement, resulting in net proceeds of $0.2 million after the payment of commission to Jefferies, but before offering expenses.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Borrowings (Financing Arrangements)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Our long-term borrowings are reflected in our balance sheet in non-current liabilities as “Long-term debt, net” and in current liabilities as “Current portion of long-term debt, net”.</w:t>
      </w:r>
    </w:p>
    <w:p>
      <w:pPr>
        <w:spacing w:after="0" w:line="170"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As of December 31, 2025 and 2024 our total borrowings were $2,369.9 million and $2,413.3, respectively. See Note 8 (Long-Term Debt) to our Financial Statements for further discussion of our long-term debt.</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For the year 2025 and up to the filing of this Annual Report: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Issuance of €250.0 Million Unsecured Bonds</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On February 25, 2026, CCEC issued €250.0 million of senior unsecured bonds to investors in Greece. The 2026 Bonds mature in February 2033 and have a coupon of 3.75%, payable semi-annually. The trading of the 2026 Bonds on the Athens Stock Exchange commenced on February 26, 2026. The proceeds of the 2026 Bonds will be used to the 2021 Bonds, as well as to partially fund our capital expenditures and support our working capital needs. We estimate the expenses related to the offering of the 2026 Bonds to be approximately €7.5 million.</w:t>
      </w:r>
    </w:p>
    <w:p>
      <w:pPr>
        <w:spacing w:after="0" w:line="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The 2025 – LCO</w:t>
      </w:r>
      <w:r>
        <w:rPr>
          <w:rFonts w:ascii="Times New Roman" w:cs="Times New Roman" w:eastAsia="Times New Roman" w:hAnsi="Times New Roman"/>
          <w:sz w:val="22"/>
          <w:szCs w:val="22"/>
          <w:i w:val="1"/>
          <w:iCs w:val="1"/>
          <w:color w:val="auto"/>
          <w:vertAlign w:val="subscript"/>
        </w:rPr>
        <w:t>2</w:t>
      </w:r>
      <w:r>
        <w:rPr>
          <w:rFonts w:ascii="Times New Roman" w:cs="Times New Roman" w:eastAsia="Times New Roman" w:hAnsi="Times New Roman"/>
          <w:sz w:val="13"/>
          <w:szCs w:val="13"/>
          <w:i w:val="1"/>
          <w:iCs w:val="1"/>
          <w:color w:val="auto"/>
        </w:rPr>
        <w:t xml:space="preserve"> – HMG/Cs Active, Alkimos Credit Facility</w:t>
      </w:r>
    </w:p>
    <w:p>
      <w:pPr>
        <w:spacing w:after="0" w:line="78" w:lineRule="exact"/>
        <w:rPr>
          <w:sz w:val="20"/>
          <w:szCs w:val="20"/>
          <w:color w:val="auto"/>
        </w:rPr>
      </w:pPr>
    </w:p>
    <w:p>
      <w:pPr>
        <w:jc w:val="both"/>
        <w:ind w:firstLine="479"/>
        <w:spacing w:after="0" w:line="267" w:lineRule="auto"/>
        <w:rPr>
          <w:sz w:val="20"/>
          <w:szCs w:val="20"/>
          <w:color w:val="auto"/>
        </w:rPr>
      </w:pPr>
      <w:r>
        <w:rPr>
          <w:rFonts w:ascii="Times New Roman" w:cs="Times New Roman" w:eastAsia="Times New Roman" w:hAnsi="Times New Roman"/>
          <w:sz w:val="13"/>
          <w:szCs w:val="13"/>
          <w:color w:val="auto"/>
        </w:rPr>
        <w:t>On September 30, 2025, the vessel-owning companies of the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 HMG/C Active (delivered in January 2026) and M/V Alkimos (Hull - 8404; under construction) entered into the 2025 –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 HMG/Cs Active, Alkimos Credit Facility with the purpose of partially financing the deliveries of the vessels from the shipyard. The Company is acting as a parent guarantor. The following table presents an analysis of the main terms of the credit facility:</w:t>
      </w:r>
    </w:p>
    <w:p>
      <w:pPr>
        <w:spacing w:after="0" w:line="131"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98</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49"/>
        </w:trPr>
        <w:tc>
          <w:tcPr>
            <w:tcW w:w="522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All amounts presented in the table below are expressed in millions of United States Dollars</w:t>
            </w: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315"/>
        </w:trPr>
        <w:tc>
          <w:tcPr>
            <w:tcW w:w="16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Actual or</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0"/>
        </w:trPr>
        <w:tc>
          <w:tcPr>
            <w:tcW w:w="16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Scheduled</w:t>
            </w: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Duration in</w:t>
            </w:r>
          </w:p>
        </w:tc>
      </w:tr>
      <w:tr>
        <w:trPr>
          <w:trHeight w:val="160"/>
        </w:trPr>
        <w:tc>
          <w:tcPr>
            <w:tcW w:w="164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Vessel Names</w:t>
            </w:r>
          </w:p>
        </w:tc>
        <w:tc>
          <w:tcPr>
            <w:tcW w:w="130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Vessel Type</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CBM</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Delivery</w:t>
            </w:r>
          </w:p>
        </w:tc>
        <w:tc>
          <w:tcPr>
            <w:tcW w:w="1720" w:type="dxa"/>
            <w:vAlign w:val="bottom"/>
            <w:gridSpan w:val="2"/>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Financing Amount</w:t>
            </w:r>
          </w:p>
        </w:tc>
        <w:tc>
          <w:tcPr>
            <w:tcW w:w="1820" w:type="dxa"/>
            <w:vAlign w:val="bottom"/>
            <w:gridSpan w:val="2"/>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Quarterly Instalment</w:t>
            </w:r>
          </w:p>
        </w:tc>
        <w:tc>
          <w:tcPr>
            <w:tcW w:w="168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Balloon</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years</w:t>
            </w:r>
          </w:p>
        </w:tc>
      </w:tr>
      <w:tr>
        <w:trPr>
          <w:trHeight w:val="174"/>
        </w:trPr>
        <w:tc>
          <w:tcPr>
            <w:tcW w:w="1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Base</w:t>
            </w:r>
          </w:p>
        </w:tc>
        <w:tc>
          <w:tcPr>
            <w:tcW w:w="980" w:type="dxa"/>
            <w:vAlign w:val="bottom"/>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Increased*</w:t>
            </w:r>
          </w:p>
        </w:tc>
        <w:tc>
          <w:tcPr>
            <w:tcW w:w="820" w:type="dxa"/>
            <w:vAlign w:val="bottom"/>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Base</w:t>
            </w: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Increased*</w:t>
            </w: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Base</w:t>
            </w: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Increased*</w:t>
            </w:r>
          </w:p>
        </w:tc>
        <w:tc>
          <w:tcPr>
            <w:tcW w:w="840" w:type="dxa"/>
            <w:vAlign w:val="bottom"/>
          </w:tcPr>
          <w:p>
            <w:pPr>
              <w:spacing w:after="0"/>
              <w:rPr>
                <w:sz w:val="15"/>
                <w:szCs w:val="15"/>
                <w:color w:val="auto"/>
              </w:rPr>
            </w:pPr>
          </w:p>
        </w:tc>
      </w:tr>
      <w:tr>
        <w:trPr>
          <w:trHeight w:val="170"/>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Active &amp; Alkimos</w:t>
            </w:r>
          </w:p>
        </w:tc>
        <w:tc>
          <w:tcPr>
            <w:tcW w:w="1300" w:type="dxa"/>
            <w:vAlign w:val="bottom"/>
            <w:shd w:val="clear" w:color="auto" w:fill="CCEEFF"/>
          </w:tcPr>
          <w:p>
            <w:pPr>
              <w:jc w:val="right"/>
              <w:ind w:right="57"/>
              <w:spacing w:after="0" w:line="170" w:lineRule="exact"/>
              <w:rPr>
                <w:sz w:val="20"/>
                <w:szCs w:val="20"/>
                <w:color w:val="auto"/>
              </w:rPr>
            </w:pPr>
            <w:r>
              <w:rPr>
                <w:rFonts w:ascii="Times New Roman" w:cs="Times New Roman" w:eastAsia="Times New Roman" w:hAnsi="Times New Roman"/>
                <w:sz w:val="12"/>
                <w:szCs w:val="12"/>
                <w:color w:val="auto"/>
              </w:rPr>
              <w:t>LCO</w:t>
            </w:r>
            <w:r>
              <w:rPr>
                <w:rFonts w:ascii="Times New Roman" w:cs="Times New Roman" w:eastAsia="Times New Roman" w:hAnsi="Times New Roman"/>
                <w:sz w:val="19"/>
                <w:szCs w:val="19"/>
                <w:color w:val="auto"/>
                <w:vertAlign w:val="subscript"/>
              </w:rPr>
              <w:t>2</w:t>
            </w:r>
            <w:r>
              <w:rPr>
                <w:rFonts w:ascii="Times New Roman" w:cs="Times New Roman" w:eastAsia="Times New Roman" w:hAnsi="Times New Roman"/>
                <w:sz w:val="12"/>
                <w:szCs w:val="12"/>
                <w:color w:val="auto"/>
              </w:rPr>
              <w:t xml:space="preserve"> – HMG/C</w:t>
            </w:r>
          </w:p>
        </w:tc>
        <w:tc>
          <w:tcPr>
            <w:tcW w:w="8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rPr>
              <w:t>22,000</w:t>
            </w:r>
          </w:p>
        </w:tc>
        <w:tc>
          <w:tcPr>
            <w:tcW w:w="1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Q1 &amp; Q3 2026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101.7</w:t>
            </w:r>
          </w:p>
        </w:tc>
        <w:tc>
          <w:tcPr>
            <w:tcW w:w="9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117.3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1.5</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37.5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r>
    </w:tbl>
    <w:p>
      <w:pPr>
        <w:ind w:left="440" w:hanging="440"/>
        <w:spacing w:after="0"/>
        <w:tabs>
          <w:tab w:leader="none" w:pos="44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amount if long term employment is secured</w:t>
      </w:r>
    </w:p>
    <w:p>
      <w:pPr>
        <w:spacing w:after="0" w:line="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On December 30, 2025, the Company drew down the amount of $44.5 million and a further $4.4 million was drawn on January 5, 2026 to partly finance the delivery of the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 HMG/Cs Active.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The 2025 CMBFL-MG/C</w:t>
      </w:r>
    </w:p>
    <w:p>
      <w:pPr>
        <w:spacing w:after="0" w:line="172"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On August 13, 2025, the vessel-owning companies of all six of our DF MGC vessels in our Under Construction Fleet, entered into the 2025 CMBFL-MG/C for the purpose of partially financing deliveries of the vessels from the shipyard. The vessels include the M/T Aristogenis (Hull - 8424), M/T Aridaios (Hull - 8425), M/T Aratos (Hull - 8426), M/T Agenor (Hull - 8427) (each, 45,000 CBM, DF LPG, Hyundai Mipo Dockyard Co. Ltd., South Korea), and M/T Andrianos (Hull – S1111) and M/T Anios (Hull – S1112) (each, 40,000 CBM, DF LPG, Nantong CIMC Sinopacific Offshore &amp; Engineering Co. Ltd, PRC). The following table presents an analysis of the main terms of the sale and leaseback agreements: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All amounts presented in the table below are expressed in millions of United States Dollars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6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Scheduled</w:t>
            </w: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Duration in</w:t>
            </w:r>
          </w:p>
        </w:tc>
      </w:tr>
      <w:tr>
        <w:trPr>
          <w:trHeight w:val="160"/>
        </w:trPr>
        <w:tc>
          <w:tcPr>
            <w:tcW w:w="1620" w:type="dxa"/>
            <w:vAlign w:val="bottom"/>
          </w:tcPr>
          <w:p>
            <w:pPr>
              <w:ind w:left="600"/>
              <w:spacing w:after="0"/>
              <w:rPr>
                <w:sz w:val="20"/>
                <w:szCs w:val="20"/>
                <w:color w:val="auto"/>
              </w:rPr>
            </w:pPr>
            <w:r>
              <w:rPr>
                <w:rFonts w:ascii="Times New Roman" w:cs="Times New Roman" w:eastAsia="Times New Roman" w:hAnsi="Times New Roman"/>
                <w:sz w:val="13"/>
                <w:szCs w:val="13"/>
                <w:b w:val="1"/>
                <w:bCs w:val="1"/>
                <w:color w:val="auto"/>
              </w:rPr>
              <w:t>Vessel Name</w:t>
            </w:r>
          </w:p>
        </w:tc>
        <w:tc>
          <w:tcPr>
            <w:tcW w:w="132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Vessel Type</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CBM</w:t>
            </w:r>
          </w:p>
        </w:tc>
        <w:tc>
          <w:tcPr>
            <w:tcW w:w="122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rPr>
              <w:t>Delivery</w:t>
            </w:r>
          </w:p>
        </w:tc>
        <w:tc>
          <w:tcPr>
            <w:tcW w:w="1900" w:type="dxa"/>
            <w:vAlign w:val="bottom"/>
            <w:gridSpan w:val="2"/>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Financing Amount</w:t>
            </w:r>
          </w:p>
        </w:tc>
        <w:tc>
          <w:tcPr>
            <w:tcW w:w="1820" w:type="dxa"/>
            <w:vAlign w:val="bottom"/>
            <w:gridSpan w:val="2"/>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Quarterly Instalment</w:t>
            </w:r>
          </w:p>
        </w:tc>
        <w:tc>
          <w:tcPr>
            <w:tcW w:w="168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Balloon</w:t>
            </w:r>
          </w:p>
        </w:tc>
        <w:tc>
          <w:tcPr>
            <w:tcW w:w="840" w:type="dxa"/>
            <w:vAlign w:val="bottom"/>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years</w:t>
            </w:r>
          </w:p>
        </w:tc>
      </w:tr>
      <w:tr>
        <w:trPr>
          <w:trHeight w:val="174"/>
        </w:trPr>
        <w:tc>
          <w:tcPr>
            <w:tcW w:w="1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20" w:type="dxa"/>
            <w:vAlign w:val="bottom"/>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Base</w:t>
            </w:r>
          </w:p>
        </w:tc>
        <w:tc>
          <w:tcPr>
            <w:tcW w:w="980" w:type="dxa"/>
            <w:vAlign w:val="bottom"/>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Increased*</w:t>
            </w:r>
          </w:p>
        </w:tc>
        <w:tc>
          <w:tcPr>
            <w:tcW w:w="820" w:type="dxa"/>
            <w:vAlign w:val="bottom"/>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Base</w:t>
            </w: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Increased*</w:t>
            </w: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Base</w:t>
            </w: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Increased*</w:t>
            </w:r>
          </w:p>
        </w:tc>
        <w:tc>
          <w:tcPr>
            <w:tcW w:w="840" w:type="dxa"/>
            <w:vAlign w:val="bottom"/>
          </w:tcPr>
          <w:p>
            <w:pPr>
              <w:spacing w:after="0"/>
              <w:rPr>
                <w:sz w:val="15"/>
                <w:szCs w:val="15"/>
                <w:color w:val="auto"/>
              </w:rPr>
            </w:pPr>
          </w:p>
        </w:tc>
      </w:tr>
      <w:tr>
        <w:trPr>
          <w:trHeight w:val="160"/>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Aristogenis</w:t>
            </w:r>
          </w:p>
        </w:tc>
        <w:tc>
          <w:tcPr>
            <w:tcW w:w="1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MG/C</w:t>
            </w:r>
          </w:p>
        </w:tc>
        <w:tc>
          <w:tcPr>
            <w:tcW w:w="8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rPr>
              <w:t>45,000</w:t>
            </w:r>
          </w:p>
        </w:tc>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Q2 2026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9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66.4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0.8</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35.5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60"/>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Aridaios</w:t>
            </w:r>
          </w:p>
        </w:tc>
        <w:tc>
          <w:tcPr>
            <w:tcW w:w="13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MG/C</w:t>
            </w: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3"/>
                <w:szCs w:val="13"/>
                <w:color w:val="auto"/>
              </w:rPr>
              <w:t>45,000</w:t>
            </w:r>
          </w:p>
        </w:tc>
        <w:tc>
          <w:tcPr>
            <w:tcW w:w="12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Q3 2026</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66.4</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0.8</w:t>
            </w:r>
          </w:p>
        </w:tc>
        <w:tc>
          <w:tcPr>
            <w:tcW w:w="8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35.5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60"/>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Aratos</w:t>
            </w:r>
          </w:p>
        </w:tc>
        <w:tc>
          <w:tcPr>
            <w:tcW w:w="1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MG/C</w:t>
            </w:r>
          </w:p>
        </w:tc>
        <w:tc>
          <w:tcPr>
            <w:tcW w:w="8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rPr>
              <w:t>45,000</w:t>
            </w:r>
          </w:p>
        </w:tc>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Q1 2027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9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66.4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0.8</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35.5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60"/>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Agenor</w:t>
            </w:r>
          </w:p>
        </w:tc>
        <w:tc>
          <w:tcPr>
            <w:tcW w:w="13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MG/C</w:t>
            </w: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3"/>
                <w:szCs w:val="13"/>
                <w:color w:val="auto"/>
              </w:rPr>
              <w:t>45,000</w:t>
            </w:r>
          </w:p>
        </w:tc>
        <w:tc>
          <w:tcPr>
            <w:tcW w:w="12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Q2 2027</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66.4</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0.8</w:t>
            </w:r>
          </w:p>
        </w:tc>
        <w:tc>
          <w:tcPr>
            <w:tcW w:w="8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35.5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60"/>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Andrianos</w:t>
            </w:r>
          </w:p>
        </w:tc>
        <w:tc>
          <w:tcPr>
            <w:tcW w:w="1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MG/C</w:t>
            </w:r>
          </w:p>
        </w:tc>
        <w:tc>
          <w:tcPr>
            <w:tcW w:w="8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rPr>
              <w:t>40,000</w:t>
            </w:r>
          </w:p>
        </w:tc>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Q1 2027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9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55.5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0.7</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29.7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61"/>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Anios</w:t>
            </w:r>
          </w:p>
        </w:tc>
        <w:tc>
          <w:tcPr>
            <w:tcW w:w="13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MG/C</w:t>
            </w: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3"/>
                <w:szCs w:val="13"/>
                <w:color w:val="auto"/>
              </w:rPr>
              <w:t>40,000</w:t>
            </w:r>
          </w:p>
        </w:tc>
        <w:tc>
          <w:tcPr>
            <w:tcW w:w="12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Q3 2027</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55.5</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0.7</w:t>
            </w:r>
          </w:p>
        </w:tc>
        <w:tc>
          <w:tcPr>
            <w:tcW w:w="8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29.7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bl>
    <w:p>
      <w:pPr>
        <w:ind w:left="480" w:right="7960" w:hanging="480"/>
        <w:spacing w:after="0" w:line="320" w:lineRule="auto"/>
        <w:tabs>
          <w:tab w:leader="none" w:pos="45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Increased amount if long term employment is secured </w:t>
      </w:r>
      <w:r>
        <w:rPr>
          <w:rFonts w:ascii="Times New Roman" w:cs="Times New Roman" w:eastAsia="Times New Roman" w:hAnsi="Times New Roman"/>
          <w:sz w:val="13"/>
          <w:szCs w:val="13"/>
          <w:i w:val="1"/>
          <w:iCs w:val="1"/>
          <w:color w:val="auto"/>
        </w:rPr>
        <w:t>2025 – LCO</w:t>
      </w:r>
      <w:r>
        <w:rPr>
          <w:rFonts w:ascii="Times New Roman" w:cs="Times New Roman" w:eastAsia="Times New Roman" w:hAnsi="Times New Roman"/>
          <w:sz w:val="22"/>
          <w:szCs w:val="22"/>
          <w:i w:val="1"/>
          <w:iCs w:val="1"/>
          <w:color w:val="auto"/>
          <w:vertAlign w:val="subscript"/>
        </w:rPr>
        <w:t>2</w:t>
      </w:r>
      <w:r>
        <w:rPr>
          <w:rFonts w:ascii="Times New Roman" w:cs="Times New Roman" w:eastAsia="Times New Roman" w:hAnsi="Times New Roman"/>
          <w:sz w:val="13"/>
          <w:szCs w:val="13"/>
          <w:i w:val="1"/>
          <w:iCs w:val="1"/>
          <w:color w:val="auto"/>
        </w:rPr>
        <w:t xml:space="preserve"> Amadeus, Athenian Credit Facility</w:t>
      </w:r>
    </w:p>
    <w:p>
      <w:pPr>
        <w:spacing w:after="0" w:line="2" w:lineRule="exact"/>
        <w:rPr>
          <w:sz w:val="20"/>
          <w:szCs w:val="20"/>
          <w:color w:val="auto"/>
        </w:rPr>
      </w:pPr>
    </w:p>
    <w:p>
      <w:pPr>
        <w:jc w:val="both"/>
        <w:ind w:firstLine="479"/>
        <w:spacing w:after="0" w:line="222" w:lineRule="auto"/>
        <w:rPr>
          <w:sz w:val="20"/>
          <w:szCs w:val="20"/>
          <w:color w:val="auto"/>
        </w:rPr>
      </w:pPr>
      <w:r>
        <w:rPr>
          <w:rFonts w:ascii="Times New Roman" w:cs="Times New Roman" w:eastAsia="Times New Roman" w:hAnsi="Times New Roman"/>
          <w:sz w:val="13"/>
          <w:szCs w:val="13"/>
          <w:color w:val="auto"/>
        </w:rPr>
        <w:t>On June 26, 2025, the vessel-owning companies of two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 HMG/C vessels in our Under Construction Fleet, namely the M/V Amadeus (Hull - 8399) and the M/V Athenian (Hull - 8405), entered into the 2025 – LCO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3"/>
          <w:szCs w:val="13"/>
          <w:color w:val="auto"/>
        </w:rPr>
        <w:t xml:space="preserve"> Amadeus, Athenian Credit Facility to partially finance the deliveries of the vessels from the shipyard. The Company is acting as a parent guarantor. The following table presents an analysis of the main terms of the credit facility: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All amounts presented in the table below are expressed in millions of United States Dollars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6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w w:val="99"/>
              </w:rPr>
              <w:t>Actual or</w:t>
            </w: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0"/>
        </w:trPr>
        <w:tc>
          <w:tcPr>
            <w:tcW w:w="16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Scheduled</w:t>
            </w: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Duration in</w:t>
            </w:r>
          </w:p>
        </w:tc>
      </w:tr>
      <w:tr>
        <w:trPr>
          <w:trHeight w:val="160"/>
        </w:trPr>
        <w:tc>
          <w:tcPr>
            <w:tcW w:w="164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Vessel Names</w:t>
            </w:r>
          </w:p>
        </w:tc>
        <w:tc>
          <w:tcPr>
            <w:tcW w:w="130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Vessel Type</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CBM</w:t>
            </w:r>
          </w:p>
        </w:tc>
        <w:tc>
          <w:tcPr>
            <w:tcW w:w="122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Delivery</w:t>
            </w:r>
          </w:p>
        </w:tc>
        <w:tc>
          <w:tcPr>
            <w:tcW w:w="1900" w:type="dxa"/>
            <w:vAlign w:val="bottom"/>
            <w:gridSpan w:val="2"/>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Financing Amount</w:t>
            </w:r>
          </w:p>
        </w:tc>
        <w:tc>
          <w:tcPr>
            <w:tcW w:w="1820" w:type="dxa"/>
            <w:vAlign w:val="bottom"/>
            <w:gridSpan w:val="2"/>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Quarterly Instalment</w:t>
            </w:r>
          </w:p>
        </w:tc>
        <w:tc>
          <w:tcPr>
            <w:tcW w:w="168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Balloon</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years</w:t>
            </w:r>
          </w:p>
        </w:tc>
      </w:tr>
      <w:tr>
        <w:trPr>
          <w:trHeight w:val="174"/>
        </w:trPr>
        <w:tc>
          <w:tcPr>
            <w:tcW w:w="1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20" w:type="dxa"/>
            <w:vAlign w:val="bottom"/>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Base</w:t>
            </w:r>
          </w:p>
        </w:tc>
        <w:tc>
          <w:tcPr>
            <w:tcW w:w="980" w:type="dxa"/>
            <w:vAlign w:val="bottom"/>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Increased*</w:t>
            </w:r>
          </w:p>
        </w:tc>
        <w:tc>
          <w:tcPr>
            <w:tcW w:w="820" w:type="dxa"/>
            <w:vAlign w:val="bottom"/>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Base</w:t>
            </w: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Increased*</w:t>
            </w: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Base</w:t>
            </w: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Increased*</w:t>
            </w:r>
          </w:p>
        </w:tc>
        <w:tc>
          <w:tcPr>
            <w:tcW w:w="840" w:type="dxa"/>
            <w:vAlign w:val="bottom"/>
          </w:tcPr>
          <w:p>
            <w:pPr>
              <w:spacing w:after="0"/>
              <w:rPr>
                <w:sz w:val="15"/>
                <w:szCs w:val="15"/>
                <w:color w:val="auto"/>
              </w:rPr>
            </w:pPr>
          </w:p>
        </w:tc>
      </w:tr>
      <w:tr>
        <w:trPr>
          <w:trHeight w:val="170"/>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Amadeus &amp; Athenian</w:t>
            </w:r>
          </w:p>
        </w:tc>
        <w:tc>
          <w:tcPr>
            <w:tcW w:w="1300" w:type="dxa"/>
            <w:vAlign w:val="bottom"/>
            <w:shd w:val="clear" w:color="auto" w:fill="CCEEFF"/>
          </w:tcPr>
          <w:p>
            <w:pPr>
              <w:jc w:val="right"/>
              <w:ind w:right="57"/>
              <w:spacing w:after="0" w:line="170" w:lineRule="exact"/>
              <w:rPr>
                <w:sz w:val="20"/>
                <w:szCs w:val="20"/>
                <w:color w:val="auto"/>
              </w:rPr>
            </w:pPr>
            <w:r>
              <w:rPr>
                <w:rFonts w:ascii="Times New Roman" w:cs="Times New Roman" w:eastAsia="Times New Roman" w:hAnsi="Times New Roman"/>
                <w:sz w:val="12"/>
                <w:szCs w:val="12"/>
                <w:color w:val="auto"/>
              </w:rPr>
              <w:t>LCO</w:t>
            </w:r>
            <w:r>
              <w:rPr>
                <w:rFonts w:ascii="Times New Roman" w:cs="Times New Roman" w:eastAsia="Times New Roman" w:hAnsi="Times New Roman"/>
                <w:sz w:val="19"/>
                <w:szCs w:val="19"/>
                <w:color w:val="auto"/>
                <w:vertAlign w:val="subscript"/>
              </w:rPr>
              <w:t>2</w:t>
            </w:r>
            <w:r>
              <w:rPr>
                <w:rFonts w:ascii="Times New Roman" w:cs="Times New Roman" w:eastAsia="Times New Roman" w:hAnsi="Times New Roman"/>
                <w:sz w:val="12"/>
                <w:szCs w:val="12"/>
                <w:color w:val="auto"/>
              </w:rPr>
              <w:t xml:space="preserve"> – HMG/C</w:t>
            </w:r>
          </w:p>
        </w:tc>
        <w:tc>
          <w:tcPr>
            <w:tcW w:w="8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rPr>
              <w:t>22,000</w:t>
            </w:r>
          </w:p>
        </w:tc>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Q2 &amp; Q4 2026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101.7</w:t>
            </w:r>
          </w:p>
        </w:tc>
        <w:tc>
          <w:tcPr>
            <w:tcW w:w="9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117.3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1.5</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76.3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r>
    </w:tbl>
    <w:p>
      <w:pPr>
        <w:ind w:left="440" w:hanging="440"/>
        <w:spacing w:after="0"/>
        <w:tabs>
          <w:tab w:leader="none" w:pos="44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amount if long term employment is secured</w:t>
      </w:r>
    </w:p>
    <w:p>
      <w:pPr>
        <w:spacing w:after="0" w:line="157" w:lineRule="exact"/>
        <w:rPr>
          <w:sz w:val="20"/>
          <w:szCs w:val="20"/>
          <w:color w:val="auto"/>
        </w:rPr>
      </w:pPr>
    </w:p>
    <w:p>
      <w:pPr>
        <w:jc w:val="both"/>
        <w:ind w:left="5620"/>
        <w:spacing w:after="0"/>
        <w:tabs>
          <w:tab w:leader="none" w:pos="10320" w:val="left"/>
        </w:tabs>
        <w:rPr>
          <w:sz w:val="20"/>
          <w:szCs w:val="20"/>
          <w:color w:val="auto"/>
        </w:rPr>
      </w:pPr>
      <w:r>
        <w:rPr>
          <w:rFonts w:ascii="Times New Roman" w:cs="Times New Roman" w:eastAsia="Times New Roman" w:hAnsi="Times New Roman"/>
          <w:sz w:val="13"/>
          <w:szCs w:val="13"/>
          <w:color w:val="auto"/>
        </w:rPr>
        <w:t>99</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19" w:right="319" w:bottom="1440" w:gutter="0" w:footer="0" w:header="0"/>
        </w:sectPr>
      </w:pPr>
    </w:p>
    <w:bookmarkStart w:id="100" w:name="page101"/>
    <w:bookmarkEnd w:id="100"/>
    <w:p>
      <w:pPr>
        <w:ind w:left="480"/>
        <w:spacing w:after="0"/>
        <w:rPr>
          <w:sz w:val="20"/>
          <w:szCs w:val="20"/>
          <w:color w:val="auto"/>
        </w:rPr>
      </w:pPr>
      <w:r>
        <w:rPr>
          <w:rFonts w:ascii="Times New Roman" w:cs="Times New Roman" w:eastAsia="Times New Roman" w:hAnsi="Times New Roman"/>
          <w:sz w:val="13"/>
          <w:szCs w:val="13"/>
          <w:b w:val="1"/>
          <w:bCs w:val="1"/>
          <w:color w:val="auto"/>
        </w:rPr>
        <w:t>For the year 2024:</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The 2024 Bocomm – LNG/C Asklipios and the 2024 Bocomm – LNG/C Attalos Sale and Lease Backs</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On August 23, 2024, we entered into two separate sale and lease back agreements with subsidiaries of Bocomm for the LNG/C Asklipios and the LNG/C Attalos, for an amount of $162.5 million each with the purpose of refinancing the then outstanding balance of both vessels of $250.4 million under the sale and lease back arrangements that the companies owning the vessels had entered into with CMBFL in 2021. The new sale and lease back agreements have remaining duration, starting from August 29, 2024, when the refinancing was completed, of seven years.</w:t>
      </w:r>
    </w:p>
    <w:p>
      <w:pPr>
        <w:spacing w:after="0" w:line="1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The 2024 – LNG/C Aristidis I credit facility and 2021 LNG/C Aristidis I credit facility</w:t>
      </w:r>
    </w:p>
    <w:p>
      <w:pPr>
        <w:spacing w:after="0" w:line="172"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Upon the acquisition of the LNG/C Aristidis I on December 16, 2021, we assumed the respective debt previously incurred by the seller, of $123.0 million, under a syndicate credit facility led by ING. On June 25, 2024, the vessel-owning company of the LNG/C Aristidis I entered into a new credit facility with NBG, of up to $155.0 million, mainly for the full repayment of the 2021 LNG/C Aristidis I credit facility. We are acting as a parent guarantor and the facility has a duration of seven years. We drew down the full amount of the facility on June 26, 2024. On June 28, 2024, we fully repaid $99.4 million of the 2021 LNG/C Aristidis I credit facility using proceeds from the 2024 – LNG/C Aristidis I credit facility. The 2021 LNG/C Aristidis I credit facility had a maturity in December 2027.</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The 2024 – LNG/C Apostolos Jolco and 2024 – LNG/C Apostolos credit facility</w:t>
      </w:r>
    </w:p>
    <w:p>
      <w:pPr>
        <w:spacing w:after="0" w:line="172" w:lineRule="exact"/>
        <w:rPr>
          <w:sz w:val="20"/>
          <w:szCs w:val="20"/>
          <w:color w:val="auto"/>
        </w:rPr>
      </w:pPr>
    </w:p>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On June 20, 2024, the vessel-owning company of the LNG/C Apostolos entered into a new credit facility with BNP, of up to $192.0 million, for the purpose of partially financing the construction of the vessel. During June 2024 we drew down the full amount of the facility. On June 25, 2024, the vessel-owning company of the LNG/C Apostolos entered into a new sale and lease back agreement, of up to $240.0 million, for the purpose of full repayment of the 2024 – LNG/C Apostolos credit facility. The sale and lease back agreement has a duration of eight years. On July 16, 2024, we drew down the full amount of 2024</w:t>
      </w:r>
    </w:p>
    <w:p>
      <w:pPr>
        <w:ind w:left="480" w:right="3420" w:hanging="479"/>
        <w:spacing w:after="0" w:line="502" w:lineRule="auto"/>
        <w:rPr>
          <w:sz w:val="20"/>
          <w:szCs w:val="20"/>
          <w:color w:val="auto"/>
        </w:rPr>
      </w:pPr>
      <w:r>
        <w:rPr>
          <w:rFonts w:ascii="Times New Roman" w:cs="Times New Roman" w:eastAsia="Times New Roman" w:hAnsi="Times New Roman"/>
          <w:sz w:val="13"/>
          <w:szCs w:val="13"/>
          <w:color w:val="auto"/>
        </w:rPr>
        <w:t xml:space="preserve">– LNG/C Apostolos Jolco and we fully repaid the 2024 – LNG/C Apostolos credit facility using proceeds from the 2024 – LNG/C Apostolos Jolco. </w:t>
      </w:r>
      <w:r>
        <w:rPr>
          <w:rFonts w:ascii="Times New Roman" w:cs="Times New Roman" w:eastAsia="Times New Roman" w:hAnsi="Times New Roman"/>
          <w:sz w:val="13"/>
          <w:szCs w:val="13"/>
          <w:i w:val="1"/>
          <w:iCs w:val="1"/>
          <w:color w:val="auto"/>
        </w:rPr>
        <w:t>The 2024 – LNG/C Aktoras credit facility</w:t>
      </w:r>
    </w:p>
    <w:p>
      <w:pPr>
        <w:spacing w:after="0" w:line="1"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On May 31, 2024, the vessel-owning company of the LNG/C Aktoras entered into a new credit facility with Piraeus, of up to $240.0 million, for the purpose of partially financing the construction of the vessel. We are acting as a parent guarantor. During June 2024, we drew down the full amount of the facility. The facility has a duration of seven years.</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The 2021 Bocomm</w:t>
      </w:r>
    </w:p>
    <w:p>
      <w:pPr>
        <w:spacing w:after="0" w:line="172"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On May 14, 2024, we agreed with Bocomm to amend certain of the terms included in two separate sale and lease back agreements that the companies owning the vessels LNG/C Aristos I and the LNG/C Aristarchos had entered into with Bocomm in 2021. Specifically, effective from May 2024, we agreed to reduce the interest paid on the outstanding amount and extended the maturity for both agreements by two years. We entered into the initial agreements upon the acquisition of the LNG/C Aristos I and the LNG/C Aristarchos on September 3, 2021 and we then assumed indebtedness of $148.9 million and $155.4 million, respectively, under the respective sale and lease back transactions. The agreements had initial maturity on October 2027 and May 2028, respectively.</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The 2023 – LNG/C Assos Jolco</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On December 22, 2023, we entered into a new sale and lease back agreement of up to $240.0 million, for the purpose of partially financing the acquisition of the shares of the vessel-owning company of the LNG/C Assos. The full amount of the sale and lease back agreement was drawn in May 2024. The agreement has a duration of eight years.</w:t>
      </w:r>
    </w:p>
    <w:p>
      <w:pPr>
        <w:spacing w:after="0" w:line="114"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100</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101" w:name="page102"/>
    <w:bookmarkEnd w:id="101"/>
    <w:p>
      <w:pPr>
        <w:ind w:left="480"/>
        <w:spacing w:after="0"/>
        <w:rPr>
          <w:sz w:val="20"/>
          <w:szCs w:val="20"/>
          <w:color w:val="auto"/>
        </w:rPr>
      </w:pPr>
      <w:r>
        <w:rPr>
          <w:rFonts w:ascii="Times New Roman" w:cs="Times New Roman" w:eastAsia="Times New Roman" w:hAnsi="Times New Roman"/>
          <w:sz w:val="13"/>
          <w:szCs w:val="13"/>
          <w:i w:val="1"/>
          <w:iCs w:val="1"/>
          <w:color w:val="auto"/>
        </w:rPr>
        <w:t>The 2024 – LNG/C Axios II credit facility</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On December 20, 2023, the vessel-owning company of the LNG/C Axios II entered into a new credit facility with ING, of up to $190.0 million, for the purpose of partially financing the construction of the vessel. We are acting as a parent guarantor. We drew down the full amount of the facility on January 2, 2024, upon the completion of the acquisition of the vessel from Capital Maritime. The facility has a duration of seven years.</w:t>
      </w:r>
    </w:p>
    <w:p>
      <w:pPr>
        <w:spacing w:after="0" w:line="1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The Seller’s Credit</w:t>
      </w:r>
    </w:p>
    <w:p>
      <w:pPr>
        <w:spacing w:after="0" w:line="17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On December 21, 2023, upon closing of the Umbrella Agreement we entered into the Seller’s Credit with Capital Maritime, in an amount of up to $220.0 million in order to finance a portion of the purchase price of the Umbrella Agreement Vessels. The Seller’s Credit provides for interest at a rate of 7.5% per annum and has a maturity date of June 30, 2027. On January 2, 2024, upon the delivery of the LNG/C Axios II, we utilized $92.6 million under the Seller’s Credit. On February 28, March 11 and April 24, 2024, after the deliveries of the M/V Long Beach Express, the M/V Akadimos and the M/V Athenian, to their new owners, we repaid the amounts outstanding under the Seller’s Credit of $12.8 million, $40.0 million and $39.8 million, respectively, leaving the remaining unutilized amount at $127.4 million. Following the sales of the M/V Athos (April 22, 2024), the M/V Seattle Express (April 26, 2024), the M/V Aristomenis (May 3, 2024) and the M/V Fos Express (May 3, 2024), the unutilized amount under the Seller’s Credit was automatically reduced by $85.2 million to $42.2 million. On June 5 and June 28, 2024, upon the deliveries of the LNG/C Aktoras and the LNG/C Apostolos, we utilized the remaining unutilized amount of $42.2 million, which we subsequently repaid in full on November 26, 2024, following the delivery of the M/V Hyundai Premium to its new owner. As of December 31, 2025 there were no amounts outstanding or unutilized under the Seller’s Credit, and no further amounts were drawn thereafter.</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For the year 2023:</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The 2023 CMBFL – LNG/C AMI</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On December 21, 2023, we assumed the 2023 CMBFL - LNG/C AMI, consisting of a $196.3 million sale and leaseback transaction for the purpose of partially financing the acquisition of the shares of the company owning the LNG/C Amore Mio I. The agreement has a tenor of 10 years from issuance and offers the option to repurchase the vessel at a predetermined price after the first anniversary of the arrangement, together with a purchase obligation of $98.2 million at the expiration of the lease in October 2033.</w:t>
      </w:r>
    </w:p>
    <w:p>
      <w:pPr>
        <w:spacing w:after="0" w:line="1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The 2023 Credit Facility</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On June 13, 2023, we entered into a new syndicated credit facility led by Cathay United Bank for up to $100.0 million for the purpose of partially financing the acquisition of the M/V Buenaventura Express. The full amount of the facility was drawn on June 15, 2023. It has a duration of eight years.</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The 2023 CMBFL – LNG/C</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On February 7, 2023, we entered into the 2023 CMBFL - LNG/C, with CMBFL, consisting of up to $184.0 million of available funds, for the purpose of partially financing the acquisition of the shares of the company owning the LNG/C Asterix I. The full amount of the sale and lease back agreement was drawn on February 17, 2023. It has a duration of 10 years.</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The 2022 Jolco</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On December 23, 2022, we entered into a sale and lease back agreement for up to $108.0 million for the purpose of partially financing the acquisition of the shares of the company owning the M/V Itajai Express. The full amount of the sale and lease back agreement was drawn on January 6, 2023. It has a duration of eight years.</w:t>
      </w:r>
    </w:p>
    <w:p>
      <w:pPr>
        <w:spacing w:after="0" w:line="114"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101</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102" w:name="page103"/>
    <w:bookmarkEnd w:id="102"/>
    <w:p>
      <w:pPr>
        <w:ind w:left="480"/>
        <w:spacing w:after="0"/>
        <w:rPr>
          <w:sz w:val="20"/>
          <w:szCs w:val="20"/>
          <w:color w:val="auto"/>
        </w:rPr>
      </w:pPr>
      <w:r>
        <w:rPr>
          <w:rFonts w:ascii="Times New Roman" w:cs="Times New Roman" w:eastAsia="Times New Roman" w:hAnsi="Times New Roman"/>
          <w:sz w:val="13"/>
          <w:szCs w:val="13"/>
          <w:i w:val="1"/>
          <w:iCs w:val="1"/>
          <w:color w:val="auto"/>
        </w:rPr>
        <w:t>Senior Unsecured Bonds</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On October 20, 2021, the wholly owned subsidiary of the Company, CPLP PLC, issued €150.0 million of senior unsecured bonds in Greece. The 2021 Bonds are guaranteed by the Company, mature in October 2026 and have a coupon of 2.65%, payable semi-annually. The trading of the 2021 Bonds on the Athens Stock Exchange commenced on October 25, 2021. In April 2026, the full outstanding balance of the 2021 Bonds refinanced through the proceeds of the 2026 Bonds.</w:t>
      </w:r>
    </w:p>
    <w:p>
      <w:pPr>
        <w:spacing w:after="0" w:line="127"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On July 22, 2022, the wholly owned subsidiary of the Company, CPLP PLC, issued €100.0 million of senior unsecured bonds in Greece (the “2022 Bonds”). The 2022 Bonds are guaranteed by the Company, mature in July 2029 and have a coupon of 4.40%, payable semi-annually. The trading of the 2022 Bonds on the Athens Stock Exchange commenced on July 27, 2022.</w:t>
      </w:r>
    </w:p>
    <w:p>
      <w:pPr>
        <w:spacing w:after="0" w:line="11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On December 2, 2021 we entered into a cross-currency swap agreement with Piraeus exchanging €120.0 million with $139.7 million paying a fixed annual rate of 3.66%. The agreement’s effective date was October 21, 2021 and matured on October 21, 2025.</w:t>
      </w:r>
    </w:p>
    <w:p>
      <w:pPr>
        <w:spacing w:after="0" w:line="11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On December 13, 2021, we entered into a cross-currency swap agreement with Alpha Bank SA exchanging €30.0 million with $34.9 million paying a fixed annual rate of 3.69%. The agreement’s effective date was October 21, 2021 and matured on October 21, 2025.</w:t>
      </w:r>
    </w:p>
    <w:p>
      <w:pPr>
        <w:spacing w:after="0" w:line="11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On August 4, 2022, we entered into a cross-currency swap agreement with Piraeus exchanging €100.0 million with $101.8 million paying a fixed annual rate of 6.55%. The agreement’s effective date is July 26, 2022 and its maturity date is July 26, 2029.</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The required annual payments to be made subsequently to December 31, 2025, with reference to our financing arrangements are as follows:</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19"/>
        </w:trPr>
        <w:tc>
          <w:tcPr>
            <w:tcW w:w="100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For the year ending December 31,</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50"/>
        </w:trPr>
        <w:tc>
          <w:tcPr>
            <w:tcW w:w="10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2026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124.8</w:t>
            </w:r>
          </w:p>
        </w:tc>
      </w:tr>
      <w:tr>
        <w:trPr>
          <w:trHeight w:val="160"/>
        </w:trPr>
        <w:tc>
          <w:tcPr>
            <w:tcW w:w="100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2027</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w:t>
            </w:r>
          </w:p>
        </w:tc>
      </w:tr>
      <w:tr>
        <w:trPr>
          <w:trHeight w:val="160"/>
        </w:trPr>
        <w:tc>
          <w:tcPr>
            <w:tcW w:w="10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2028</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110.8</w:t>
            </w:r>
          </w:p>
        </w:tc>
      </w:tr>
      <w:tr>
        <w:trPr>
          <w:trHeight w:val="160"/>
        </w:trPr>
        <w:tc>
          <w:tcPr>
            <w:tcW w:w="100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2029</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313.8</w:t>
            </w:r>
          </w:p>
        </w:tc>
      </w:tr>
      <w:tr>
        <w:trPr>
          <w:trHeight w:val="160"/>
        </w:trPr>
        <w:tc>
          <w:tcPr>
            <w:tcW w:w="10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2030</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310.1</w:t>
            </w:r>
          </w:p>
        </w:tc>
      </w:tr>
      <w:tr>
        <w:trPr>
          <w:trHeight w:val="160"/>
        </w:trPr>
        <w:tc>
          <w:tcPr>
            <w:tcW w:w="100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Thereafter</w:t>
            </w: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1,401.4</w:t>
            </w:r>
          </w:p>
        </w:tc>
      </w:tr>
      <w:tr>
        <w:trPr>
          <w:trHeight w:val="150"/>
        </w:trPr>
        <w:tc>
          <w:tcPr>
            <w:tcW w:w="10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2,369.9</w:t>
            </w:r>
          </w:p>
        </w:tc>
      </w:tr>
    </w:tbl>
    <w:p>
      <w:pPr>
        <w:spacing w:after="0" w:line="147"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Our financing arrangements, other than the Bonds, contain customary ship finance covenants, including restrictions as to changes in management and ownership of the mortgaged vessels, the incurrence of additional indebtedness and the mortgaging of vessels.</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Our financing arrangements including the Bonds also contain financial covenants:</w:t>
      </w:r>
    </w:p>
    <w:p>
      <w:pPr>
        <w:spacing w:after="0" w:line="170" w:lineRule="exact"/>
        <w:rPr>
          <w:sz w:val="20"/>
          <w:szCs w:val="20"/>
          <w:color w:val="auto"/>
        </w:rPr>
      </w:pPr>
    </w:p>
    <w:p>
      <w:pPr>
        <w:ind w:left="960" w:hanging="481"/>
        <w:spacing w:after="0"/>
        <w:tabs>
          <w:tab w:leader="none" w:pos="960" w:val="left"/>
        </w:tabs>
        <w:numPr>
          <w:ilvl w:val="0"/>
          <w:numId w:val="8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to maintain minimum free consolidated liquidity of at least $0.5 million per collateralized vessel;</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8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to maintain a ratio of EBITDA (as defined therein) to net interest expense of at least 2.00 to 1.00 on a trailing four quarter basis; and</w:t>
      </w:r>
    </w:p>
    <w:p>
      <w:pPr>
        <w:spacing w:after="0" w:line="169" w:lineRule="exact"/>
        <w:rPr>
          <w:rFonts w:ascii="Arial" w:cs="Arial" w:eastAsia="Arial" w:hAnsi="Arial"/>
          <w:sz w:val="13"/>
          <w:szCs w:val="13"/>
          <w:b w:val="1"/>
          <w:bCs w:val="1"/>
          <w:color w:val="auto"/>
        </w:rPr>
      </w:pPr>
    </w:p>
    <w:p>
      <w:pPr>
        <w:ind w:left="480" w:right="2900" w:hanging="1"/>
        <w:spacing w:after="0" w:line="511" w:lineRule="auto"/>
        <w:tabs>
          <w:tab w:leader="none" w:pos="959" w:val="left"/>
        </w:tabs>
        <w:numPr>
          <w:ilvl w:val="0"/>
          <w:numId w:val="8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not to exceed a specified maximum leverage ratio in the form of a ratio of total net indebtedness to (fair value adjusted) total assets of 0.75. In addition, the 2021 Bonds and 2022 Bonds require that:</w:t>
      </w:r>
    </w:p>
    <w:p>
      <w:pPr>
        <w:ind w:left="960" w:hanging="481"/>
        <w:spacing w:after="0"/>
        <w:tabs>
          <w:tab w:leader="none" w:pos="960" w:val="left"/>
        </w:tabs>
        <w:numPr>
          <w:ilvl w:val="0"/>
          <w:numId w:val="8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we maintain a pledged DSRA with a minimum balance €0.10 million;</w:t>
      </w:r>
    </w:p>
    <w:p>
      <w:pPr>
        <w:spacing w:after="0" w:line="169"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102</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103" w:name="page104"/>
    <w:bookmarkEnd w:id="103"/>
    <w:p>
      <w:pPr>
        <w:ind w:left="960" w:hanging="481"/>
        <w:spacing w:after="0"/>
        <w:tabs>
          <w:tab w:leader="none" w:pos="960" w:val="left"/>
        </w:tabs>
        <w:numPr>
          <w:ilvl w:val="0"/>
          <w:numId w:val="8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we deposit to the DSRA 50% of any cash dividends to shareholders exceeding $20.0 million per annum, capped at 1/3 of the par value of the Bonds outstanding at the time; and</w:t>
      </w:r>
    </w:p>
    <w:p>
      <w:pPr>
        <w:spacing w:after="0" w:line="169" w:lineRule="exact"/>
        <w:rPr>
          <w:rFonts w:ascii="Arial" w:cs="Arial" w:eastAsia="Arial" w:hAnsi="Arial"/>
          <w:sz w:val="13"/>
          <w:szCs w:val="13"/>
          <w:b w:val="1"/>
          <w:bCs w:val="1"/>
          <w:color w:val="auto"/>
        </w:rPr>
      </w:pPr>
    </w:p>
    <w:p>
      <w:pPr>
        <w:ind w:left="960" w:hanging="481"/>
        <w:spacing w:after="0" w:line="292" w:lineRule="auto"/>
        <w:tabs>
          <w:tab w:leader="none" w:pos="960" w:val="left"/>
        </w:tabs>
        <w:numPr>
          <w:ilvl w:val="0"/>
          <w:numId w:val="81"/>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if our MVAN falls below $300.0 million then to deposit to the DSRA the difference between the MVAN and the $300.0 million (capped to 1/3 of the par value of the 2021 Bonds and 2022 Bonds outstanding).</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2026 Bonds require that:</w:t>
      </w:r>
    </w:p>
    <w:p>
      <w:pPr>
        <w:spacing w:after="0" w:line="170" w:lineRule="exact"/>
        <w:rPr>
          <w:sz w:val="20"/>
          <w:szCs w:val="20"/>
          <w:color w:val="auto"/>
        </w:rPr>
      </w:pPr>
    </w:p>
    <w:p>
      <w:pPr>
        <w:ind w:left="960" w:hanging="481"/>
        <w:spacing w:after="0"/>
        <w:tabs>
          <w:tab w:leader="none" w:pos="960" w:val="left"/>
        </w:tabs>
        <w:numPr>
          <w:ilvl w:val="0"/>
          <w:numId w:val="8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we maintain a pledged DSRA with a minimum balance €0.15 million; and</w:t>
      </w:r>
    </w:p>
    <w:p>
      <w:pPr>
        <w:spacing w:after="0" w:line="169" w:lineRule="exact"/>
        <w:rPr>
          <w:rFonts w:ascii="Arial" w:cs="Arial" w:eastAsia="Arial" w:hAnsi="Arial"/>
          <w:sz w:val="13"/>
          <w:szCs w:val="13"/>
          <w:b w:val="1"/>
          <w:bCs w:val="1"/>
          <w:color w:val="auto"/>
        </w:rPr>
      </w:pPr>
    </w:p>
    <w:p>
      <w:pPr>
        <w:ind w:left="480" w:right="140" w:hanging="1"/>
        <w:spacing w:after="0" w:line="511" w:lineRule="auto"/>
        <w:tabs>
          <w:tab w:leader="none" w:pos="959" w:val="left"/>
        </w:tabs>
        <w:numPr>
          <w:ilvl w:val="0"/>
          <w:numId w:val="8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if our MVAN falls below $450.0 million then to deposit to the DSRA the difference between the MVAN and the $450.0 million (capped to 1/3 of the par value of the 2026 Bonds outstanding). Furthermore, all our financing arrangements other than the Bonds provide that:</w:t>
      </w:r>
    </w:p>
    <w:p>
      <w:pPr>
        <w:ind w:left="960" w:hanging="481"/>
        <w:spacing w:after="0" w:line="292" w:lineRule="auto"/>
        <w:tabs>
          <w:tab w:leader="none" w:pos="960" w:val="left"/>
        </w:tabs>
        <w:numPr>
          <w:ilvl w:val="0"/>
          <w:numId w:val="8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we are required to maintain a minimum security coverage ratio, usually defined as the ratio of the market value of the collateralized vessels or vessel and net realizable value of additional acceptable security to the respective outstanding amount under the applicable financing arrangement between 110% and 120%;</w:t>
      </w:r>
    </w:p>
    <w:p>
      <w:pPr>
        <w:spacing w:after="0" w:line="114" w:lineRule="exact"/>
        <w:rPr>
          <w:rFonts w:ascii="Arial" w:cs="Arial" w:eastAsia="Arial" w:hAnsi="Arial"/>
          <w:sz w:val="13"/>
          <w:szCs w:val="13"/>
          <w:b w:val="1"/>
          <w:bCs w:val="1"/>
          <w:color w:val="auto"/>
        </w:rPr>
      </w:pPr>
    </w:p>
    <w:p>
      <w:pPr>
        <w:ind w:left="960" w:hanging="481"/>
        <w:spacing w:after="0" w:line="292" w:lineRule="auto"/>
        <w:tabs>
          <w:tab w:leader="none" w:pos="960" w:val="left"/>
        </w:tabs>
        <w:numPr>
          <w:ilvl w:val="0"/>
          <w:numId w:val="8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vessel-owning subsidiaries may pay dividends or make distributions provided that no event of default has occurred and the payment of such dividend or distribution does not result in an event of default, including a breach of any of the financial covenants; and</w:t>
      </w:r>
    </w:p>
    <w:p>
      <w:pPr>
        <w:spacing w:after="0" w:line="114" w:lineRule="exact"/>
        <w:rPr>
          <w:rFonts w:ascii="Arial" w:cs="Arial" w:eastAsia="Arial" w:hAnsi="Arial"/>
          <w:sz w:val="13"/>
          <w:szCs w:val="13"/>
          <w:b w:val="1"/>
          <w:bCs w:val="1"/>
          <w:color w:val="auto"/>
        </w:rPr>
      </w:pPr>
    </w:p>
    <w:p>
      <w:pPr>
        <w:ind w:left="960" w:hanging="481"/>
        <w:spacing w:after="0" w:line="292" w:lineRule="auto"/>
        <w:tabs>
          <w:tab w:leader="none" w:pos="960" w:val="left"/>
        </w:tabs>
        <w:numPr>
          <w:ilvl w:val="0"/>
          <w:numId w:val="82"/>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earnings, insurances and requisition compensation of the vessels are required to be assigned as collateral and additional security, including pledge and charge on current account, corporate guarantee from each of the vessel-owning subsidiaries and mortgage interest insurance, is also required.</w:t>
      </w:r>
    </w:p>
    <w:p>
      <w:pPr>
        <w:spacing w:after="0" w:line="115"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These financing arrangements are secured by first-priority mortgages over all our vessels and are guaranteed by each vessel-owning subsidiary and contain a “Market Disruption Clause,” which the lenders may unilaterally trigger, requiring us to compensate the lenders for any increases to their funding costs caused by disruptions to the market.</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As of December 31, 2025, we were in compliance with all financial debt covenants under all our financing arrangements.</w:t>
      </w:r>
    </w:p>
    <w:p>
      <w:pPr>
        <w:spacing w:after="0" w:line="170" w:lineRule="exact"/>
        <w:rPr>
          <w:sz w:val="20"/>
          <w:szCs w:val="20"/>
          <w:color w:val="auto"/>
        </w:rPr>
      </w:pPr>
    </w:p>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Our ability to comply with the covenants and restrictions contained in our financing arrangements may be affected by events beyond our control, including prevailing economic, financial and industry conditions, interest rate developments, changes in the funding costs of our financing institutions and changes in vessel earnings and asset valuations. If market or other economic conditions deteriorate, our ability to comply with these covenants may be impaired. If we are in breach of any of the restrictions, covenants, ratios or tests in our financing arrangements, or if we trigger a cross-default currently contained in our financing arrangements, we may be forced to suspend our dividends, a significant portion of our obligations may become immediately due and payable and our lenders’ commitment to make further loans to us (if any) may terminate. We may not have, or be able to obtain, sufficient funds to make these accelerated payments. In addition, obligations under certain of our credit facilities are secured by our vessels or through the ownership of the vessels, and if we are unable to repay, or otherwise default on, our financing arrangements, the lenders could seek to take control of these assets.</w:t>
      </w:r>
    </w:p>
    <w:p>
      <w:pPr>
        <w:spacing w:after="0" w:line="135"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Furthermore, any contemplated vessel acquisitions will have to be at levels that do not impair the required ratios described above. If the estimated asset values of our vessels decrease, we may be obligated to prepay part of our outstanding debt in order to remain in compliance with the relevant covenants in our financing arrangements. A decline in the market value of our vessels could also affect our ability to refinance our debt and/or limit our ability to obtain additional financing. A decrease of 10% in the aggregate fair market value of our fleet would not cause any violation of the indebtedness to market value covenants, contained in our financing arrangements.</w:t>
      </w:r>
    </w:p>
    <w:p>
      <w:pPr>
        <w:spacing w:after="0" w:line="131"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103</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46" w:right="319" w:bottom="1440" w:gutter="0" w:footer="0" w:header="0"/>
        </w:sectPr>
      </w:pPr>
    </w:p>
    <w:bookmarkStart w:id="104" w:name="page105"/>
    <w:bookmarkEnd w:id="104"/>
    <w:p>
      <w:pPr>
        <w:ind w:left="480" w:right="9220" w:hanging="480"/>
        <w:spacing w:after="0" w:line="512" w:lineRule="auto"/>
        <w:tabs>
          <w:tab w:leader="none" w:pos="480" w:val="left"/>
        </w:tabs>
        <w:numPr>
          <w:ilvl w:val="0"/>
          <w:numId w:val="8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Research and Development. </w:t>
      </w:r>
      <w:r>
        <w:rPr>
          <w:rFonts w:ascii="Times New Roman" w:cs="Times New Roman" w:eastAsia="Times New Roman" w:hAnsi="Times New Roman"/>
          <w:sz w:val="13"/>
          <w:szCs w:val="13"/>
          <w:color w:val="auto"/>
        </w:rPr>
        <w:t>Not applicable.</w:t>
      </w:r>
    </w:p>
    <w:p>
      <w:pPr>
        <w:ind w:left="480" w:hanging="480"/>
        <w:spacing w:after="0"/>
        <w:tabs>
          <w:tab w:leader="none" w:pos="480" w:val="left"/>
        </w:tabs>
        <w:numPr>
          <w:ilvl w:val="0"/>
          <w:numId w:val="8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Trend Information.</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 xml:space="preserve">Our results of operations depend primarily on the charter hire rates that we are able to realize for our vessels, which depend on, among other things, the demand and supply dynamics characterizing the LNG/C, LPG carriage, wider energy transition gas and container markets at the time of chartering a vessel, please also refer to </w:t>
      </w:r>
      <w:r>
        <w:rPr>
          <w:rFonts w:ascii="Times New Roman" w:cs="Times New Roman" w:eastAsia="Times New Roman" w:hAnsi="Times New Roman"/>
          <w:sz w:val="13"/>
          <w:szCs w:val="13"/>
          <w:i w:val="1"/>
          <w:iCs w:val="1"/>
          <w:color w:val="auto"/>
        </w:rPr>
        <w:t>“Item 3. Key Information—D Risk Factors—Risks Related to Our Industry</w:t>
      </w:r>
      <w:r>
        <w:rPr>
          <w:rFonts w:ascii="Times New Roman" w:cs="Times New Roman" w:eastAsia="Times New Roman" w:hAnsi="Times New Roman"/>
          <w:sz w:val="13"/>
          <w:szCs w:val="13"/>
          <w:color w:val="auto"/>
        </w:rPr>
        <w:t>”. For other trends affecting our business please see other discussions in “—A. Operating Results” above.</w:t>
      </w:r>
    </w:p>
    <w:p>
      <w:pPr>
        <w:spacing w:after="0" w:line="125" w:lineRule="exact"/>
        <w:rPr>
          <w:sz w:val="20"/>
          <w:szCs w:val="20"/>
          <w:color w:val="auto"/>
        </w:rPr>
      </w:pPr>
    </w:p>
    <w:p>
      <w:pPr>
        <w:ind w:left="480" w:hanging="480"/>
        <w:spacing w:after="0"/>
        <w:tabs>
          <w:tab w:leader="none" w:pos="480" w:val="left"/>
        </w:tabs>
        <w:numPr>
          <w:ilvl w:val="0"/>
          <w:numId w:val="8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Critical Accounting Estimates</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The discussion and analysis of our financial condition and results of operations is based upon our Financial Statements, which have been prepared in accordance with U.S. GAAP. The preparation of these financial statements requires us to make estimates and judgments that affect the reported amount of assets and liabilities, revenues and expenses and related disclosure of contingent assets and liabilities at the date of our financial statements. Actual results may differ from these estimates under different assumptions or conditions.</w:t>
      </w:r>
    </w:p>
    <w:p>
      <w:pPr>
        <w:spacing w:after="0" w:line="127"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Critical accounting estimates are those estimates made in accordance with U.S. GAAP that involve a significant level of estimation uncertainty and have had or are reasonably likely to have a material impact on our financial condition or results of operations. We have described below what we believe our critical accounting estimates are. For a description of our significant accounting policies, see Note 2 (Significant Accounting Policies) to our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Impairment</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The carrying value of each of our vessels and vessels under construction represents its original cost (contract price, initial expenditures and improvements) at the time of delivery or purchase less accumulated depreciation or impairment charges. The carrying values of our vessels and charters attached, may not represent their fair market value at any point in time since the market prices of second-hand vessels and charters attached tend to fluctuate with changes in charter rates and the cost of newbuilds.</w:t>
      </w:r>
    </w:p>
    <w:p>
      <w:pPr>
        <w:spacing w:after="0" w:line="127"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Our estimates of basic market value used in the identification of impairment indicators assume that the vessels are all in good and seaworthy condition without need for repair and, if inspected, would be certified in class without notations of any kind. Our estimates are based on the average of two estimated market values for the vessels and the charters attached, received from third-party independent shipbrokers approved by our financing providers. Vessel values are highly volatile. Accordingly, our estimates may not be indicative of the current or future basic market value of the vessels or prices that could be achieved if the vessels were to be sold.</w:t>
      </w:r>
    </w:p>
    <w:p>
      <w:pPr>
        <w:spacing w:after="0" w:line="131"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In case an impairment indicator exists for any of our vessels, we perform undiscounted cash flow tests, as an impairment analysis, in which we make estimates and assumptions relating to determining the projected undiscounted net operating cash flows by considering the following:</w:t>
      </w:r>
    </w:p>
    <w:p>
      <w:pPr>
        <w:spacing w:after="0" w:line="114" w:lineRule="exact"/>
        <w:rPr>
          <w:sz w:val="20"/>
          <w:szCs w:val="20"/>
          <w:color w:val="auto"/>
        </w:rPr>
      </w:pPr>
    </w:p>
    <w:p>
      <w:pPr>
        <w:ind w:left="960" w:hanging="481"/>
        <w:spacing w:after="0"/>
        <w:tabs>
          <w:tab w:leader="none" w:pos="960" w:val="left"/>
        </w:tabs>
        <w:numPr>
          <w:ilvl w:val="0"/>
          <w:numId w:val="8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charter revenues from existing time charters for the fixed fleet days (our remaining charter agreement rates);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8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vessel operating expenses;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8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dry-docking expenditures;</w:t>
      </w:r>
    </w:p>
    <w:p>
      <w:pPr>
        <w:spacing w:after="0" w:line="169"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105" w:name="page106"/>
    <w:bookmarkEnd w:id="105"/>
    <w:p>
      <w:pPr>
        <w:ind w:left="960" w:hanging="481"/>
        <w:spacing w:after="0" w:line="292" w:lineRule="auto"/>
        <w:tabs>
          <w:tab w:leader="none" w:pos="960" w:val="left"/>
        </w:tabs>
        <w:numPr>
          <w:ilvl w:val="0"/>
          <w:numId w:val="8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an estimated gross daily time charter rate for the unfixed days (based on the ten-year historical average of time charters with duration of one year) over the remaining economic life of each vessel, excluding days of scheduled off-hires;</w:t>
      </w:r>
    </w:p>
    <w:p>
      <w:pPr>
        <w:spacing w:after="0" w:line="114" w:lineRule="exact"/>
        <w:rPr>
          <w:rFonts w:ascii="Arial" w:cs="Arial" w:eastAsia="Arial" w:hAnsi="Arial"/>
          <w:sz w:val="13"/>
          <w:szCs w:val="13"/>
          <w:b w:val="1"/>
          <w:bCs w:val="1"/>
          <w:color w:val="auto"/>
        </w:rPr>
      </w:pPr>
    </w:p>
    <w:p>
      <w:pPr>
        <w:ind w:left="960" w:hanging="481"/>
        <w:spacing w:after="0"/>
        <w:tabs>
          <w:tab w:leader="none" w:pos="960" w:val="left"/>
        </w:tabs>
        <w:numPr>
          <w:ilvl w:val="0"/>
          <w:numId w:val="8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residual value of vessels;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8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commercial and technical management fees;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8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 utilization rate based on the fleet’s historical performance; and</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8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remaining estimated life of our vessels.</w:t>
      </w:r>
    </w:p>
    <w:p>
      <w:pPr>
        <w:spacing w:after="0" w:line="169"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As of December 31, 2025, and 2024, the carrying amount of each vessel, including the book value of the attached time charter, if any, in our fleet did not exceed its respective charter-attached market value. Accordingly, no undiscounted cash flow tests were required to be performed for any of our vessels, and, as a result, this is not considered a critical accounting estimate.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6. Directors, Senior Management and Employees.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Management of Capital Clean Energy Carriers Corp.</w:t>
      </w:r>
    </w:p>
    <w:p>
      <w:pPr>
        <w:spacing w:after="0" w:line="172" w:lineRule="exact"/>
        <w:rPr>
          <w:sz w:val="20"/>
          <w:szCs w:val="20"/>
          <w:color w:val="auto"/>
        </w:rPr>
      </w:pPr>
    </w:p>
    <w:p>
      <w:pPr>
        <w:jc w:val="both"/>
        <w:ind w:firstLine="479"/>
        <w:spacing w:after="0" w:line="272" w:lineRule="auto"/>
        <w:rPr>
          <w:sz w:val="20"/>
          <w:szCs w:val="20"/>
          <w:color w:val="auto"/>
        </w:rPr>
      </w:pPr>
      <w:r>
        <w:rPr>
          <w:rFonts w:ascii="Times New Roman" w:cs="Times New Roman" w:eastAsia="Times New Roman" w:hAnsi="Times New Roman"/>
          <w:sz w:val="13"/>
          <w:szCs w:val="13"/>
          <w:color w:val="auto"/>
        </w:rPr>
        <w:t>Our board of directors has appointed officers of the Company who provide services to us pursuant the Executive Services Agreement with CGP LLC. These officers are not required to work full-time on our affairs and may also work for Capital Maritime and/or its affiliates. For example, our Chief Executive Officer, Chief Financial Officer and Chief Commercial Officer are also executive officers or employees of Capital Maritime, Capital Ship Management and/or their respective affiliates. Capital Maritime and our Managers each conduct substantial businesses and activities of their own in which we have no economic interest.</w:t>
      </w:r>
    </w:p>
    <w:p>
      <w:pPr>
        <w:spacing w:after="0" w:line="290"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Pursuant to our Articles of Incorporation and the Bylaws, our board of directors consists of eight directors, a majority of which will be “independent” in accordance with Nasdaq rules. All directors are elected by majority vote of the holders of common shares (including Capital Maritime and its affiliates), other than in a contested election, in which the election of directors is by a plurality vote.</w:t>
      </w:r>
    </w:p>
    <w:p>
      <w:pPr>
        <w:spacing w:after="0" w:line="114" w:lineRule="exact"/>
        <w:rPr>
          <w:sz w:val="20"/>
          <w:szCs w:val="20"/>
          <w:color w:val="auto"/>
        </w:rPr>
      </w:pPr>
    </w:p>
    <w:p>
      <w:pPr>
        <w:jc w:val="both"/>
        <w:ind w:firstLine="479"/>
        <w:spacing w:after="0" w:line="260" w:lineRule="auto"/>
        <w:rPr>
          <w:sz w:val="20"/>
          <w:szCs w:val="20"/>
          <w:color w:val="auto"/>
        </w:rPr>
      </w:pPr>
      <w:r>
        <w:rPr>
          <w:rFonts w:ascii="Times New Roman" w:cs="Times New Roman" w:eastAsia="Times New Roman" w:hAnsi="Times New Roman"/>
          <w:sz w:val="13"/>
          <w:szCs w:val="13"/>
          <w:color w:val="auto"/>
        </w:rPr>
        <w:t>Pursuant to the Shareholders’ Agreement, until Capital Maritime and its affiliates cease to own at least 25% of the outstanding common shares, Capital Maritime and its affiliates will have the right to nominate three out of the eight directors to our board of directors. If the holdings of Capital Maritime and its affiliates fall below 25% but remain above 15% of the outstanding common shares, Capital Maritime and its affiliates thereafter will have the right to nominate two out of eight directors. If the holdings of Capital Maritime and its affiliates fall below 15% but remain above 5% of the outstanding common shares, Capital Maritime and its affiliates thereafter will have the right to nominate one out of eight directors. If the holdings of Capital Maritime and its affiliates fall below 5%, Capital Maritime thereafter will no longer have any rights to nominate directors. The remaining members of the board will be nominated by our Nominating Committee. For so long as Capital Maritime and its affiliates have the right to nominate at least one director pursuant to the Shareholders’ Agreement, we are required to include, and shall cause our Nominating Committee to include, any such nominee designated by Capital Maritime and its affiliates in the slate of nominees recommended by the Nominating Committee to holders of common shares for election to our board of directors. In addition, for so long as Capital Maritime and its affiliates have the right to nominate at least one director pursuant to the Shareholders’ Agreement, Capital Maritime and its affiliates have agreed not to designate individuals for nomination to our board of directors (nor participate in nominating, nor encourage any other person to recommend or propose for nomination, any individuals to our board of directors) other than pursuant to its nomination rights under the Shareholders’ Agreement or otherwise with the approval of the Nominating Committee.</w:t>
      </w:r>
    </w:p>
    <w:p>
      <w:pPr>
        <w:spacing w:after="0" w:line="137"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At our annual general meeting of shareholders held on September 22, 2025, Keith Forman, Gerasimos (Jerry) Kalogiratos, Gurpal Grewal, Atsunori Kozuki, Rory Hussey, Eleni Tsoukala and Dimitris P. Christacopoulos were re-elected, and Martin Houston was elected, to serve as directors until the 2026 annual general meeting of shareholders, and until their successors are elected and qualified. Mr. Abel Rasterhoff retired from the Company’s board of directors.</w:t>
      </w:r>
    </w:p>
    <w:p>
      <w:pPr>
        <w:spacing w:after="0" w:line="127"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105</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46" w:right="319" w:bottom="1440" w:gutter="0" w:footer="0" w:header="0"/>
        </w:sectPr>
      </w:pPr>
    </w:p>
    <w:bookmarkStart w:id="106" w:name="page107"/>
    <w:bookmarkEnd w:id="106"/>
    <w:p>
      <w:pPr>
        <w:ind w:left="480" w:hanging="480"/>
        <w:spacing w:after="0"/>
        <w:tabs>
          <w:tab w:leader="none" w:pos="480" w:val="left"/>
        </w:tabs>
        <w:numPr>
          <w:ilvl w:val="0"/>
          <w:numId w:val="8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Directors and Senior Management.</w:t>
      </w:r>
    </w:p>
    <w:p>
      <w:pPr>
        <w:spacing w:after="0" w:line="171" w:lineRule="exact"/>
        <w:rPr>
          <w:rFonts w:ascii="Times New Roman" w:cs="Times New Roman" w:eastAsia="Times New Roman" w:hAnsi="Times New Roman"/>
          <w:sz w:val="13"/>
          <w:szCs w:val="13"/>
          <w:b w:val="1"/>
          <w:bCs w:val="1"/>
          <w:color w:val="auto"/>
        </w:rPr>
      </w:pPr>
    </w:p>
    <w:p>
      <w:pPr>
        <w:ind w:left="48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Set forth below are the names, ages and positions of our directors and our executive officers as of the date of this Annual Report.</w:t>
      </w:r>
    </w:p>
    <w:p>
      <w:pPr>
        <w:spacing w:after="0" w:line="168"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39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3120" w:type="dxa"/>
            <w:vAlign w:val="bottom"/>
          </w:tcPr>
          <w:p>
            <w:pPr>
              <w:jc w:val="right"/>
              <w:ind w:right="573"/>
              <w:spacing w:after="0"/>
              <w:rPr>
                <w:sz w:val="20"/>
                <w:szCs w:val="20"/>
                <w:color w:val="auto"/>
              </w:rPr>
            </w:pPr>
            <w:r>
              <w:rPr>
                <w:rFonts w:ascii="Times New Roman" w:cs="Times New Roman" w:eastAsia="Times New Roman" w:hAnsi="Times New Roman"/>
                <w:sz w:val="13"/>
                <w:szCs w:val="13"/>
                <w:b w:val="1"/>
                <w:bCs w:val="1"/>
                <w:color w:val="auto"/>
              </w:rPr>
              <w:t>Age</w:t>
            </w:r>
          </w:p>
        </w:tc>
        <w:tc>
          <w:tcPr>
            <w:tcW w:w="2860" w:type="dxa"/>
            <w:vAlign w:val="bottom"/>
          </w:tcPr>
          <w:p>
            <w:pPr>
              <w:ind w:left="720"/>
              <w:spacing w:after="0"/>
              <w:rPr>
                <w:sz w:val="20"/>
                <w:szCs w:val="20"/>
                <w:color w:val="auto"/>
              </w:rPr>
            </w:pPr>
            <w:r>
              <w:rPr>
                <w:rFonts w:ascii="Times New Roman" w:cs="Times New Roman" w:eastAsia="Times New Roman" w:hAnsi="Times New Roman"/>
                <w:sz w:val="13"/>
                <w:szCs w:val="13"/>
                <w:b w:val="1"/>
                <w:bCs w:val="1"/>
                <w:color w:val="auto"/>
              </w:rPr>
              <w:t>Position</w:t>
            </w:r>
          </w:p>
        </w:tc>
      </w:tr>
      <w:tr>
        <w:trPr>
          <w:trHeight w:val="240"/>
        </w:trPr>
        <w:tc>
          <w:tcPr>
            <w:tcW w:w="3920" w:type="dxa"/>
            <w:vAlign w:val="bottom"/>
          </w:tcPr>
          <w:p>
            <w:pPr>
              <w:spacing w:after="0"/>
              <w:rPr>
                <w:sz w:val="20"/>
                <w:szCs w:val="20"/>
                <w:color w:val="auto"/>
              </w:rPr>
            </w:pPr>
            <w:r>
              <w:rPr>
                <w:rFonts w:ascii="Times New Roman" w:cs="Times New Roman" w:eastAsia="Times New Roman" w:hAnsi="Times New Roman"/>
                <w:sz w:val="13"/>
                <w:szCs w:val="13"/>
                <w:color w:val="auto"/>
              </w:rPr>
              <w:t>Martin Houston</w:t>
            </w:r>
          </w:p>
        </w:tc>
        <w:tc>
          <w:tcPr>
            <w:tcW w:w="3120" w:type="dxa"/>
            <w:vAlign w:val="bottom"/>
          </w:tcPr>
          <w:p>
            <w:pPr>
              <w:jc w:val="right"/>
              <w:ind w:right="733"/>
              <w:spacing w:after="0"/>
              <w:rPr>
                <w:sz w:val="20"/>
                <w:szCs w:val="20"/>
                <w:color w:val="auto"/>
              </w:rPr>
            </w:pPr>
            <w:r>
              <w:rPr>
                <w:rFonts w:ascii="Times New Roman" w:cs="Times New Roman" w:eastAsia="Times New Roman" w:hAnsi="Times New Roman"/>
                <w:sz w:val="13"/>
                <w:szCs w:val="13"/>
                <w:color w:val="auto"/>
              </w:rPr>
              <w:t>68</w:t>
            </w:r>
          </w:p>
        </w:tc>
        <w:tc>
          <w:tcPr>
            <w:tcW w:w="286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Director and Chairman of the Board</w:t>
            </w:r>
          </w:p>
        </w:tc>
      </w:tr>
      <w:tr>
        <w:trPr>
          <w:trHeight w:val="479"/>
        </w:trPr>
        <w:tc>
          <w:tcPr>
            <w:tcW w:w="3920" w:type="dxa"/>
            <w:vAlign w:val="bottom"/>
          </w:tcPr>
          <w:p>
            <w:pPr>
              <w:spacing w:after="0"/>
              <w:rPr>
                <w:sz w:val="20"/>
                <w:szCs w:val="20"/>
                <w:color w:val="auto"/>
              </w:rPr>
            </w:pPr>
            <w:r>
              <w:rPr>
                <w:rFonts w:ascii="Times New Roman" w:cs="Times New Roman" w:eastAsia="Times New Roman" w:hAnsi="Times New Roman"/>
                <w:sz w:val="13"/>
                <w:szCs w:val="13"/>
                <w:color w:val="auto"/>
              </w:rPr>
              <w:t>Keith Forman</w:t>
            </w:r>
          </w:p>
        </w:tc>
        <w:tc>
          <w:tcPr>
            <w:tcW w:w="3120" w:type="dxa"/>
            <w:vAlign w:val="bottom"/>
          </w:tcPr>
          <w:p>
            <w:pPr>
              <w:jc w:val="right"/>
              <w:ind w:right="733"/>
              <w:spacing w:after="0"/>
              <w:rPr>
                <w:sz w:val="20"/>
                <w:szCs w:val="20"/>
                <w:color w:val="auto"/>
              </w:rPr>
            </w:pPr>
            <w:r>
              <w:rPr>
                <w:rFonts w:ascii="Times New Roman" w:cs="Times New Roman" w:eastAsia="Times New Roman" w:hAnsi="Times New Roman"/>
                <w:sz w:val="13"/>
                <w:szCs w:val="13"/>
                <w:color w:val="auto"/>
              </w:rPr>
              <w:t>67</w:t>
            </w:r>
          </w:p>
        </w:tc>
        <w:tc>
          <w:tcPr>
            <w:tcW w:w="286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Director and Vice-Chairman of the Board</w:t>
            </w:r>
          </w:p>
        </w:tc>
      </w:tr>
      <w:tr>
        <w:trPr>
          <w:trHeight w:val="548"/>
        </w:trPr>
        <w:tc>
          <w:tcPr>
            <w:tcW w:w="3920" w:type="dxa"/>
            <w:vAlign w:val="bottom"/>
          </w:tcPr>
          <w:p>
            <w:pPr>
              <w:spacing w:after="0"/>
              <w:rPr>
                <w:sz w:val="20"/>
                <w:szCs w:val="20"/>
                <w:color w:val="auto"/>
              </w:rPr>
            </w:pPr>
            <w:r>
              <w:rPr>
                <w:rFonts w:ascii="Times New Roman" w:cs="Times New Roman" w:eastAsia="Times New Roman" w:hAnsi="Times New Roman"/>
                <w:sz w:val="13"/>
                <w:szCs w:val="13"/>
                <w:color w:val="auto"/>
              </w:rPr>
              <w:t>Gerasimos (Jerry) Kalogiratos</w:t>
            </w:r>
            <w:r>
              <w:rPr>
                <w:rFonts w:ascii="Times New Roman" w:cs="Times New Roman" w:eastAsia="Times New Roman" w:hAnsi="Times New Roman"/>
                <w:sz w:val="22"/>
                <w:szCs w:val="22"/>
                <w:color w:val="auto"/>
                <w:vertAlign w:val="superscript"/>
              </w:rPr>
              <w:t>(1)</w:t>
            </w:r>
          </w:p>
        </w:tc>
        <w:tc>
          <w:tcPr>
            <w:tcW w:w="3120" w:type="dxa"/>
            <w:vAlign w:val="bottom"/>
          </w:tcPr>
          <w:p>
            <w:pPr>
              <w:jc w:val="right"/>
              <w:ind w:right="733"/>
              <w:spacing w:after="0"/>
              <w:rPr>
                <w:sz w:val="20"/>
                <w:szCs w:val="20"/>
                <w:color w:val="auto"/>
              </w:rPr>
            </w:pPr>
            <w:r>
              <w:rPr>
                <w:rFonts w:ascii="Times New Roman" w:cs="Times New Roman" w:eastAsia="Times New Roman" w:hAnsi="Times New Roman"/>
                <w:sz w:val="13"/>
                <w:szCs w:val="13"/>
                <w:color w:val="auto"/>
              </w:rPr>
              <w:t>48</w:t>
            </w:r>
          </w:p>
        </w:tc>
        <w:tc>
          <w:tcPr>
            <w:tcW w:w="286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Director and Chief Executive Officer</w:t>
            </w:r>
          </w:p>
        </w:tc>
      </w:tr>
      <w:tr>
        <w:trPr>
          <w:trHeight w:val="190"/>
        </w:trPr>
        <w:tc>
          <w:tcPr>
            <w:tcW w:w="3920" w:type="dxa"/>
            <w:vAlign w:val="bottom"/>
          </w:tcPr>
          <w:p>
            <w:pPr>
              <w:spacing w:after="0" w:line="190" w:lineRule="exact"/>
              <w:rPr>
                <w:sz w:val="20"/>
                <w:szCs w:val="20"/>
                <w:color w:val="auto"/>
              </w:rPr>
            </w:pPr>
            <w:r>
              <w:rPr>
                <w:rFonts w:ascii="Times New Roman" w:cs="Times New Roman" w:eastAsia="Times New Roman" w:hAnsi="Times New Roman"/>
                <w:sz w:val="13"/>
                <w:szCs w:val="13"/>
                <w:color w:val="auto"/>
              </w:rPr>
              <w:t>Gurpal Grewal</w:t>
            </w:r>
            <w:r>
              <w:rPr>
                <w:rFonts w:ascii="Times New Roman" w:cs="Times New Roman" w:eastAsia="Times New Roman" w:hAnsi="Times New Roman"/>
                <w:sz w:val="21"/>
                <w:szCs w:val="21"/>
                <w:color w:val="auto"/>
                <w:vertAlign w:val="superscript"/>
              </w:rPr>
              <w:t>(1)</w:t>
            </w:r>
          </w:p>
        </w:tc>
        <w:tc>
          <w:tcPr>
            <w:tcW w:w="3120" w:type="dxa"/>
            <w:vAlign w:val="bottom"/>
          </w:tcPr>
          <w:p>
            <w:pPr>
              <w:jc w:val="right"/>
              <w:ind w:right="733"/>
              <w:spacing w:after="0"/>
              <w:rPr>
                <w:sz w:val="20"/>
                <w:szCs w:val="20"/>
                <w:color w:val="auto"/>
              </w:rPr>
            </w:pPr>
            <w:r>
              <w:rPr>
                <w:rFonts w:ascii="Times New Roman" w:cs="Times New Roman" w:eastAsia="Times New Roman" w:hAnsi="Times New Roman"/>
                <w:sz w:val="13"/>
                <w:szCs w:val="13"/>
                <w:color w:val="auto"/>
              </w:rPr>
              <w:t>79</w:t>
            </w:r>
          </w:p>
        </w:tc>
        <w:tc>
          <w:tcPr>
            <w:tcW w:w="286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Director</w:t>
            </w:r>
          </w:p>
        </w:tc>
      </w:tr>
      <w:tr>
        <w:trPr>
          <w:trHeight w:val="291"/>
        </w:trPr>
        <w:tc>
          <w:tcPr>
            <w:tcW w:w="3920" w:type="dxa"/>
            <w:vAlign w:val="bottom"/>
          </w:tcPr>
          <w:p>
            <w:pPr>
              <w:spacing w:after="0"/>
              <w:rPr>
                <w:sz w:val="20"/>
                <w:szCs w:val="20"/>
                <w:color w:val="auto"/>
              </w:rPr>
            </w:pPr>
            <w:r>
              <w:rPr>
                <w:rFonts w:ascii="Times New Roman" w:cs="Times New Roman" w:eastAsia="Times New Roman" w:hAnsi="Times New Roman"/>
                <w:sz w:val="13"/>
                <w:szCs w:val="13"/>
                <w:color w:val="auto"/>
              </w:rPr>
              <w:t>Atsunori Kozuki</w:t>
            </w:r>
            <w:r>
              <w:rPr>
                <w:rFonts w:ascii="Times New Roman" w:cs="Times New Roman" w:eastAsia="Times New Roman" w:hAnsi="Times New Roman"/>
                <w:sz w:val="22"/>
                <w:szCs w:val="22"/>
                <w:color w:val="auto"/>
                <w:vertAlign w:val="superscript"/>
              </w:rPr>
              <w:t>(1)</w:t>
            </w:r>
          </w:p>
        </w:tc>
        <w:tc>
          <w:tcPr>
            <w:tcW w:w="3120" w:type="dxa"/>
            <w:vAlign w:val="bottom"/>
          </w:tcPr>
          <w:p>
            <w:pPr>
              <w:jc w:val="right"/>
              <w:ind w:right="733"/>
              <w:spacing w:after="0"/>
              <w:rPr>
                <w:sz w:val="20"/>
                <w:szCs w:val="20"/>
                <w:color w:val="auto"/>
              </w:rPr>
            </w:pPr>
            <w:r>
              <w:rPr>
                <w:rFonts w:ascii="Times New Roman" w:cs="Times New Roman" w:eastAsia="Times New Roman" w:hAnsi="Times New Roman"/>
                <w:sz w:val="13"/>
                <w:szCs w:val="13"/>
                <w:color w:val="auto"/>
              </w:rPr>
              <w:t>66</w:t>
            </w:r>
          </w:p>
        </w:tc>
        <w:tc>
          <w:tcPr>
            <w:tcW w:w="286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Director</w:t>
            </w:r>
          </w:p>
        </w:tc>
      </w:tr>
      <w:tr>
        <w:trPr>
          <w:trHeight w:val="309"/>
        </w:trPr>
        <w:tc>
          <w:tcPr>
            <w:tcW w:w="3920" w:type="dxa"/>
            <w:vAlign w:val="bottom"/>
          </w:tcPr>
          <w:p>
            <w:pPr>
              <w:spacing w:after="0"/>
              <w:rPr>
                <w:sz w:val="20"/>
                <w:szCs w:val="20"/>
                <w:color w:val="auto"/>
              </w:rPr>
            </w:pPr>
            <w:r>
              <w:rPr>
                <w:rFonts w:ascii="Times New Roman" w:cs="Times New Roman" w:eastAsia="Times New Roman" w:hAnsi="Times New Roman"/>
                <w:sz w:val="13"/>
                <w:szCs w:val="13"/>
                <w:color w:val="auto"/>
              </w:rPr>
              <w:t>Rory Hussey</w:t>
            </w:r>
          </w:p>
        </w:tc>
        <w:tc>
          <w:tcPr>
            <w:tcW w:w="3120" w:type="dxa"/>
            <w:vAlign w:val="bottom"/>
          </w:tcPr>
          <w:p>
            <w:pPr>
              <w:jc w:val="right"/>
              <w:ind w:right="733"/>
              <w:spacing w:after="0"/>
              <w:rPr>
                <w:sz w:val="20"/>
                <w:szCs w:val="20"/>
                <w:color w:val="auto"/>
              </w:rPr>
            </w:pPr>
            <w:r>
              <w:rPr>
                <w:rFonts w:ascii="Times New Roman" w:cs="Times New Roman" w:eastAsia="Times New Roman" w:hAnsi="Times New Roman"/>
                <w:sz w:val="13"/>
                <w:szCs w:val="13"/>
                <w:color w:val="auto"/>
              </w:rPr>
              <w:t>74</w:t>
            </w:r>
          </w:p>
        </w:tc>
        <w:tc>
          <w:tcPr>
            <w:tcW w:w="286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Director</w:t>
            </w:r>
          </w:p>
        </w:tc>
      </w:tr>
      <w:tr>
        <w:trPr>
          <w:trHeight w:val="719"/>
        </w:trPr>
        <w:tc>
          <w:tcPr>
            <w:tcW w:w="3920" w:type="dxa"/>
            <w:vAlign w:val="bottom"/>
          </w:tcPr>
          <w:p>
            <w:pPr>
              <w:spacing w:after="0"/>
              <w:rPr>
                <w:sz w:val="20"/>
                <w:szCs w:val="20"/>
                <w:color w:val="auto"/>
              </w:rPr>
            </w:pPr>
            <w:r>
              <w:rPr>
                <w:rFonts w:ascii="Times New Roman" w:cs="Times New Roman" w:eastAsia="Times New Roman" w:hAnsi="Times New Roman"/>
                <w:sz w:val="13"/>
                <w:szCs w:val="13"/>
                <w:color w:val="auto"/>
              </w:rPr>
              <w:t>Eleni Tsoukala</w:t>
            </w:r>
          </w:p>
        </w:tc>
        <w:tc>
          <w:tcPr>
            <w:tcW w:w="3120" w:type="dxa"/>
            <w:vAlign w:val="bottom"/>
          </w:tcPr>
          <w:p>
            <w:pPr>
              <w:jc w:val="right"/>
              <w:ind w:right="733"/>
              <w:spacing w:after="0"/>
              <w:rPr>
                <w:sz w:val="20"/>
                <w:szCs w:val="20"/>
                <w:color w:val="auto"/>
              </w:rPr>
            </w:pPr>
            <w:r>
              <w:rPr>
                <w:rFonts w:ascii="Times New Roman" w:cs="Times New Roman" w:eastAsia="Times New Roman" w:hAnsi="Times New Roman"/>
                <w:sz w:val="13"/>
                <w:szCs w:val="13"/>
                <w:color w:val="auto"/>
              </w:rPr>
              <w:t>48</w:t>
            </w:r>
          </w:p>
        </w:tc>
        <w:tc>
          <w:tcPr>
            <w:tcW w:w="286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Director</w:t>
            </w:r>
          </w:p>
        </w:tc>
      </w:tr>
      <w:tr>
        <w:trPr>
          <w:trHeight w:val="719"/>
        </w:trPr>
        <w:tc>
          <w:tcPr>
            <w:tcW w:w="3920" w:type="dxa"/>
            <w:vAlign w:val="bottom"/>
          </w:tcPr>
          <w:p>
            <w:pPr>
              <w:spacing w:after="0"/>
              <w:rPr>
                <w:sz w:val="20"/>
                <w:szCs w:val="20"/>
                <w:color w:val="auto"/>
              </w:rPr>
            </w:pPr>
            <w:r>
              <w:rPr>
                <w:rFonts w:ascii="Times New Roman" w:cs="Times New Roman" w:eastAsia="Times New Roman" w:hAnsi="Times New Roman"/>
                <w:sz w:val="13"/>
                <w:szCs w:val="13"/>
                <w:color w:val="auto"/>
              </w:rPr>
              <w:t>Dimitris P. Christacopoulos</w:t>
            </w:r>
          </w:p>
        </w:tc>
        <w:tc>
          <w:tcPr>
            <w:tcW w:w="3120" w:type="dxa"/>
            <w:vAlign w:val="bottom"/>
          </w:tcPr>
          <w:p>
            <w:pPr>
              <w:jc w:val="right"/>
              <w:ind w:right="733"/>
              <w:spacing w:after="0"/>
              <w:rPr>
                <w:sz w:val="20"/>
                <w:szCs w:val="20"/>
                <w:color w:val="auto"/>
              </w:rPr>
            </w:pPr>
            <w:r>
              <w:rPr>
                <w:rFonts w:ascii="Times New Roman" w:cs="Times New Roman" w:eastAsia="Times New Roman" w:hAnsi="Times New Roman"/>
                <w:sz w:val="13"/>
                <w:szCs w:val="13"/>
                <w:color w:val="auto"/>
              </w:rPr>
              <w:t>55</w:t>
            </w:r>
          </w:p>
        </w:tc>
        <w:tc>
          <w:tcPr>
            <w:tcW w:w="286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Director</w:t>
            </w:r>
          </w:p>
        </w:tc>
      </w:tr>
      <w:tr>
        <w:trPr>
          <w:trHeight w:val="386"/>
        </w:trPr>
        <w:tc>
          <w:tcPr>
            <w:tcW w:w="3920" w:type="dxa"/>
            <w:vAlign w:val="bottom"/>
          </w:tcPr>
          <w:p>
            <w:pPr>
              <w:spacing w:after="0"/>
              <w:rPr>
                <w:sz w:val="20"/>
                <w:szCs w:val="20"/>
                <w:color w:val="auto"/>
              </w:rPr>
            </w:pPr>
            <w:r>
              <w:rPr>
                <w:rFonts w:ascii="Times New Roman" w:cs="Times New Roman" w:eastAsia="Times New Roman" w:hAnsi="Times New Roman"/>
                <w:sz w:val="13"/>
                <w:szCs w:val="13"/>
                <w:color w:val="auto"/>
              </w:rPr>
              <w:t>Nikolaos Kalapotharakos</w:t>
            </w:r>
          </w:p>
        </w:tc>
        <w:tc>
          <w:tcPr>
            <w:tcW w:w="3120" w:type="dxa"/>
            <w:vAlign w:val="bottom"/>
          </w:tcPr>
          <w:p>
            <w:pPr>
              <w:jc w:val="right"/>
              <w:ind w:right="733"/>
              <w:spacing w:after="0"/>
              <w:rPr>
                <w:sz w:val="20"/>
                <w:szCs w:val="20"/>
                <w:color w:val="auto"/>
              </w:rPr>
            </w:pPr>
            <w:r>
              <w:rPr>
                <w:rFonts w:ascii="Times New Roman" w:cs="Times New Roman" w:eastAsia="Times New Roman" w:hAnsi="Times New Roman"/>
                <w:sz w:val="13"/>
                <w:szCs w:val="13"/>
                <w:color w:val="auto"/>
              </w:rPr>
              <w:t>51</w:t>
            </w:r>
          </w:p>
        </w:tc>
        <w:tc>
          <w:tcPr>
            <w:tcW w:w="286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173"/>
        </w:trPr>
        <w:tc>
          <w:tcPr>
            <w:tcW w:w="3920" w:type="dxa"/>
            <w:vAlign w:val="bottom"/>
          </w:tcPr>
          <w:p>
            <w:pPr>
              <w:spacing w:after="0"/>
              <w:rPr>
                <w:sz w:val="20"/>
                <w:szCs w:val="20"/>
                <w:color w:val="auto"/>
              </w:rPr>
            </w:pPr>
            <w:r>
              <w:rPr>
                <w:rFonts w:ascii="Times New Roman" w:cs="Times New Roman" w:eastAsia="Times New Roman" w:hAnsi="Times New Roman"/>
                <w:sz w:val="13"/>
                <w:szCs w:val="13"/>
                <w:color w:val="auto"/>
              </w:rPr>
              <w:t>Nikolaos Tripodakis</w:t>
            </w:r>
          </w:p>
        </w:tc>
        <w:tc>
          <w:tcPr>
            <w:tcW w:w="3120" w:type="dxa"/>
            <w:vAlign w:val="bottom"/>
          </w:tcPr>
          <w:p>
            <w:pPr>
              <w:jc w:val="right"/>
              <w:ind w:right="733"/>
              <w:spacing w:after="0"/>
              <w:rPr>
                <w:sz w:val="20"/>
                <w:szCs w:val="20"/>
                <w:color w:val="auto"/>
              </w:rPr>
            </w:pPr>
            <w:r>
              <w:rPr>
                <w:rFonts w:ascii="Times New Roman" w:cs="Times New Roman" w:eastAsia="Times New Roman" w:hAnsi="Times New Roman"/>
                <w:sz w:val="13"/>
                <w:szCs w:val="13"/>
                <w:color w:val="auto"/>
              </w:rPr>
              <w:t>38</w:t>
            </w:r>
          </w:p>
        </w:tc>
        <w:tc>
          <w:tcPr>
            <w:tcW w:w="286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Chief Commercial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-2572385</wp:posOffset>
            </wp:positionV>
            <wp:extent cx="7167880" cy="2025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7880" cy="2025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-1964055</wp:posOffset>
            </wp:positionV>
            <wp:extent cx="7167880" cy="2025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7880" cy="2025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-1640840</wp:posOffset>
            </wp:positionV>
            <wp:extent cx="7167880" cy="1206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7880" cy="1206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-1115060</wp:posOffset>
            </wp:positionV>
            <wp:extent cx="7167880" cy="5067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7880" cy="5067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-201930</wp:posOffset>
            </wp:positionV>
            <wp:extent cx="7167880" cy="1016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7880" cy="101600"/>
                    </a:xfrm>
                    <a:prstGeom prst="rect">
                      <a:avLst/>
                    </a:prstGeom>
                    <a:noFill/>
                  </pic:spPr>
                </pic:pic>
              </a:graphicData>
            </a:graphic>
          </wp:anchor>
        </w:drawing>
      </w:r>
    </w:p>
    <w:p>
      <w:pPr>
        <w:spacing w:after="0" w:line="131"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2"/>
          <w:szCs w:val="12"/>
          <w:color w:val="auto"/>
        </w:rPr>
        <w:t>(1)</w:t>
      </w:r>
      <w:r>
        <w:rPr>
          <w:sz w:val="20"/>
          <w:szCs w:val="20"/>
          <w:color w:val="auto"/>
        </w:rPr>
        <w:tab/>
      </w:r>
      <w:r>
        <w:rPr>
          <w:rFonts w:ascii="Times New Roman" w:cs="Times New Roman" w:eastAsia="Times New Roman" w:hAnsi="Times New Roman"/>
          <w:sz w:val="11"/>
          <w:szCs w:val="11"/>
          <w:color w:val="auto"/>
        </w:rPr>
        <w:t>Nominated by Capital Maritime and its affiliates.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Position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Audit;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Compensation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Audit (Chair);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Conflicts;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Compensation;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ESG (Chair)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Nominating;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ESG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ESG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Compensation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(Chair);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Audit;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Conflicts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Compensation;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Nominating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(Chair)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Audit;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Conflicts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Conflicts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(Chair);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Nominating;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Audit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466" w:lineRule="exact"/>
        <w:rPr>
          <w:sz w:val="20"/>
          <w:szCs w:val="20"/>
          <w:color w:val="auto"/>
        </w:rPr>
      </w:pPr>
    </w:p>
    <w:p>
      <w:pPr>
        <w:sectPr>
          <w:pgSz w:w="11900" w:h="16838" w:orient="portrait"/>
          <w:cols w:equalWidth="0" w:num="2">
            <w:col w:w="9980" w:space="420"/>
            <w:col w:w="880"/>
          </w:cols>
          <w:pgMar w:left="300" w:top="544" w:right="319" w:bottom="1440" w:gutter="0" w:footer="0" w:header="0"/>
        </w:sect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Biographical information with respect to each of our directors, our director nominees and our executive officers is set forth below. The business address for our executive officers is 3 Iassonos Street Piraeus, 18537 Greece.</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Martin Houston, Director and Chairman of the Board.</w:t>
      </w:r>
    </w:p>
    <w:p>
      <w:pPr>
        <w:spacing w:after="0" w:line="172"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Mr. Houston was elected to the Company’s board of directors at the Company’s annual meeting of shareholders on September 22, 2025 and was appointed Chairman in March 2026. He currently serves on the audit and compensation committee. Mr. Houston began his career as a petroleum geologist in 1979 and has since accumulated 46 years of international leadership across the energy industry. He currently serves as Chairman of Omega Oil and Gas Ltd and is a Non-Executive Director of Energean plc, BUPA Arabia SA, CC Energy, and Singapore GasCo. He is also Senior Advisor at Moelis &amp; Company. In October 2024, he stepped down as Co-Founder and Executive Chairman of Tellurian Inc. following the company’s sale. Prior to that, he retired from BG Group in 2014 as Chief Operating Officer and Executive Director after a 32-year career. Mr. Houston is a Merryck mentor and a Fellow of the Geological Society of London. He serves on the Advisory Board of Columbia University’s Center on Global Energy Policy, chairs the Philanthropic Board of Newcastle University, and was an invited member of the U.S. National Petroleum Council for 15 years. Since 2000, he has served on boards of directors across multiple jurisdictions, including companies listed on the FTSE, Nasdaq, ASE, ASX, and Tadāwul. He holds a BSc in Geology from Newcastle University and an MSc in Petroleum Geology from Imperial College London.</w:t>
      </w:r>
    </w:p>
    <w:p>
      <w:pPr>
        <w:spacing w:after="0" w:line="135"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106</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type w:val="continuous"/>
        </w:sectPr>
      </w:pPr>
    </w:p>
    <w:bookmarkStart w:id="107" w:name="page108"/>
    <w:bookmarkEnd w:id="107"/>
    <w:p>
      <w:pPr>
        <w:ind w:left="480"/>
        <w:spacing w:after="0"/>
        <w:rPr>
          <w:sz w:val="20"/>
          <w:szCs w:val="20"/>
          <w:color w:val="auto"/>
        </w:rPr>
      </w:pPr>
      <w:r>
        <w:rPr>
          <w:rFonts w:ascii="Times New Roman" w:cs="Times New Roman" w:eastAsia="Times New Roman" w:hAnsi="Times New Roman"/>
          <w:sz w:val="13"/>
          <w:szCs w:val="13"/>
          <w:b w:val="1"/>
          <w:bCs w:val="1"/>
          <w:color w:val="auto"/>
        </w:rPr>
        <w:t>Keith Forman, Director and Vice-Chairman of the Board.</w:t>
      </w:r>
    </w:p>
    <w:p>
      <w:pPr>
        <w:spacing w:after="0" w:line="172" w:lineRule="exact"/>
        <w:rPr>
          <w:sz w:val="20"/>
          <w:szCs w:val="20"/>
          <w:color w:val="auto"/>
        </w:rPr>
      </w:pPr>
    </w:p>
    <w:p>
      <w:pPr>
        <w:jc w:val="both"/>
        <w:ind w:firstLine="479"/>
        <w:spacing w:after="0" w:line="260" w:lineRule="auto"/>
        <w:rPr>
          <w:sz w:val="20"/>
          <w:szCs w:val="20"/>
          <w:color w:val="auto"/>
        </w:rPr>
      </w:pPr>
      <w:r>
        <w:rPr>
          <w:rFonts w:ascii="Times New Roman" w:cs="Times New Roman" w:eastAsia="Times New Roman" w:hAnsi="Times New Roman"/>
          <w:sz w:val="13"/>
          <w:szCs w:val="13"/>
          <w:color w:val="auto"/>
        </w:rPr>
        <w:t>Mr. Forman has served as a member of the Board of Directors since April 3, 2007 and assumed the role of Vice-Chairman in March 2026, having previously served as Chairman since October 2017. He currently serves on the audit committee, conflicts committee, compensation committee and ESG committee. Mr. Forman joined our Board of Directors on April 3, 2007. From July 2022 until December 2023, Mr. Forman acted as a senior advisor to Kayne Anderson Capital Advisors, an alternative investment management firm focused on energy infrastructure and renewables. Mr. Forman served in a similar role at Industry Funds Management, an Australian fund manager investing in infrastructure projects worldwide, from 2012 to 2023. In January 2020, Mr. Forman began a fellowship at Harvard University’s Advanced Leadership Initiative which ended on December 31, 2021. Mr. Forman has held a number of executive, director and advisory positions at investment companies and publicly traded limited partnerships throughout his career. Between December 2014 and December 2017, Mr. Forman served as president and chief executive officer of the now discontinued Rentech, Inc. Mr. Forman also served as a director of the general partner of CVR Partners between April 2016 and April 2017. Between November 2007 and March 2010, Mr. Forman was a partner and chief financial officer of Crestwood Midstream Partners, a private equity-backed investment partnership active in the midstream energy market. Prior to his tenure at Crestwood, Mr. Forman was senior vice president, finance for El Paso Corporation, vice president of El Paso Field Services, and from 1992 to 2003, chief financial officer of GulfTerra Energy Partners L.P., a publicly traded limited partnership. Mr. Forman holds a B.A. degree in economics and political science from Vanderbilt University.</w:t>
      </w:r>
    </w:p>
    <w:p>
      <w:pPr>
        <w:spacing w:after="0" w:line="2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Gerasimos (Jerry) Kalogiratos, Director (Nominated by Capital Maritime and its Affiliates) and Chief Executive Officer.</w:t>
      </w:r>
    </w:p>
    <w:p>
      <w:pPr>
        <w:spacing w:after="0" w:line="17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Mr. Kalogiratos was appointed as the Chief Executive of CGP LLC in June 2015 and, in connection with the Conversion, was appointed as our Chief Executive Officer on the Effective Date. He currently serves on the ESG committee and nominating committee. He had also previously served as Chief Financial Officer of CGP LLC until February 28, 2018, when he was succeeded by Mr. Nikolaos Kalapotharakos. He joined our board of directors in December 2014. Mr. Kalogiratos joined Capital Maritime &amp; Trading Corp. in 2005 and was part of the team that completed the IPO of Capital Product Partners L.P. in 2007. He has also served as Chief Financial Officer and director of NYSE-listed Crude Carriers Corp. before its merger with us in September 2011. He has over 20 years of experience in the shipping and finance industries, specializing in vessel acquisition and projects and shipping finance. Before he joined Capital Maritime, he worked in equity sales in Greece. He completed his MA in European Economics and Politics at the Humboldt University in Berlin and holds a B.A. degree in Politics, Philosophy and Economics from the University of Oxford in the United Kingdom and an Executive Finance degree from the London Business School. From March 2019 to July 2021, Mr. Kalogiratos served on the board of directors of NYSE listed Diamond S Shipping Inc. Mr. Kalogiratos currently serves as Chief Executive Officer of Capital Tankers Corp., a company listed on Euronext Growth Oslo. Mr. Kalogiratos also serves on the board of directors of CPLP PLC, the advisory committee of West P&amp;I Club and the board of directors of the MERC Foundation.</w:t>
      </w:r>
    </w:p>
    <w:p>
      <w:pPr>
        <w:spacing w:after="0" w:line="2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Nikolaos Kalapotharakos, Chief Financial Officer.</w:t>
      </w:r>
    </w:p>
    <w:p>
      <w:pPr>
        <w:spacing w:after="0" w:line="172"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Mr. Kalapotharakos was appointed as Chief Financial Officer of CGP LLC on February 28, 2018, and, in connection with the Conversion, was appointed as our Chief Financial Officer on the Effective Date. Mr. Kalapotharakos joined Capital Maritime in January 2016 as deputy Chief Financial Officer. He started his professional career in 2001 at PricewaterhouseCoopers (PwC) where he served as an external auditor specializing in shipping companies until 2007 before joining Globus Maritime Limited, a Nasdaq listed owner of dry bulk vessels, where he served as its financial controller until the end of 2015. Mr. Kalapotharakos holds a BSc in Economics and Social studies in Economics from the University of Wales, Aberystwyth U.K. and an MSc in Financial and Business Economics from the University of Essex U.K.</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Nikolaos Tripodakis, Chief Commercial Officer.</w:t>
      </w:r>
    </w:p>
    <w:p>
      <w:pPr>
        <w:spacing w:after="0" w:line="172"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Mr. Nikolaos Tripodakis was appointed as our Chief Commercial Officer in December 2024. Mr. Nikolaos Tripodakis has more than ten years of experience in LNG shipping, trading, and chartering. He served as an LNG trader and charterer at Hartree Partners in London where he developed the physical LNG freight portfolio. Previously, he worked at the LNG trading desk of Noble Group and prior to that, he facilitated the development of the LNG desk at Simpson, Spence &amp; Young. He holds an MEng in Naval Architecture and Marine Engineering from the National Technical University of Athens and an MSc in Shipping, Trade and Finance from Bayes (formerly Cass) Business School, London.</w:t>
      </w:r>
    </w:p>
    <w:p>
      <w:pPr>
        <w:spacing w:after="0" w:line="131"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107</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108" w:name="page109"/>
    <w:bookmarkEnd w:id="108"/>
    <w:p>
      <w:pPr>
        <w:ind w:left="480"/>
        <w:spacing w:after="0"/>
        <w:rPr>
          <w:sz w:val="20"/>
          <w:szCs w:val="20"/>
          <w:color w:val="auto"/>
        </w:rPr>
      </w:pPr>
      <w:r>
        <w:rPr>
          <w:rFonts w:ascii="Times New Roman" w:cs="Times New Roman" w:eastAsia="Times New Roman" w:hAnsi="Times New Roman"/>
          <w:sz w:val="13"/>
          <w:szCs w:val="13"/>
          <w:b w:val="1"/>
          <w:bCs w:val="1"/>
          <w:color w:val="auto"/>
        </w:rPr>
        <w:t>Gurpal Grewal, Director (Nominated by Capital Maritime and its Affiliates).</w:t>
      </w:r>
    </w:p>
    <w:p>
      <w:pPr>
        <w:spacing w:after="0" w:line="172"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Mr. Gurpal Grewal joined our Board of Directors on November 16, 2017. Mr. Gurpal Grewal previously served as technical director of Capital Ship Management Corp. Mr. Grewal is a chartered engineer and has over 35 years of experience in new building design, construction, and supervision of bulk carriers, tankers, LPG and LNG/C vessels. He previously served as technical director for both Quintana Shipping Co. and Marmaras Navigation Ltd. Between 2004 and 2008, Mr. Grewal was a member of the board of directors and conflicts committee of Quintana Maritime Co. Between June 1998 and September 2005, Mr. Grewal served as technical director and principal surveyor for Lloyd’s Register of Shipping and Industrial Services S.A. (“Lloyd’s Register”) in Greece. Mr. Grewal was also previously employed by Lloyd’s Register in London as a senior ship and engineer surveyor in the Fleet Services Department. In addition, from 1996 to 1998, Mr. Grewal served as assistant chief resident superintendent with John J. McMullen &amp; Associates, New York, where he supervised the new building of product tankers in Spain. Prior to 1996, Mr. Grewal served for ten years as senior engineer at Lloyd’s Register supervising the construction of new building vessels in a variety of shipyards.</w:t>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Atsunori Kozuki, Director (Nominated by Capital Maritime and its Affiliates).</w:t>
      </w:r>
    </w:p>
    <w:p>
      <w:pPr>
        <w:spacing w:after="0" w:line="17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Mr. Atsunori Kozuki joined our board of directors on October 2, 2023 and he currently serves on the ESG committee. The career of Mr. Kozuki focuses on management, business development and marketing in the areas of shipping, energy and medical. Mr. Kozuki served as Principal Project Developer and previously as General Manager for INPEX Corporation, in charge of LNG business development, marketing and shipping having established a solid LNG transportation stream for both Ichthys LNG Project and Prelude LNG Project. For this aim, he established a new division team of shipping at INPEX first time in its history as well as INPEX shipping, a shipping arm. Mr. Kozuki has more than 36 years of experience in LNG business development, including shipping of 21 LNG/C vessels for chartering, owning and operation before he joined our Board of Directors. He started his career as Project Developer and then Project Manager for Nissho Iwai Corporation, where he developed new LNG projects between 1982 and 2002. From 1987 to 1990, he was a core member of the team that established an LNG Joint Venture with Pertamina. Before joining INPEX Corporation, Mr. Kozuki served from 2002 to 2003 as Executive Director and Officer of Nippon Colin Corporation and from 2003 to 2009 as a Director at Johnson &amp; Johnson K.K., in charge of new business development and R&amp;D in the medical sector. Mr. Kozuki possesses 4 patents including 2 business model patents. Mr. Kozuki holds an MSIA and an MBA from the Carnegie Mellon University Graduate School of Business and a B.A. degree in Economics from Keio University.</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Rory Hussey, Director.</w:t>
      </w:r>
    </w:p>
    <w:p>
      <w:pPr>
        <w:spacing w:after="0" w:line="172"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Mr. Rory Hussey joined our board of directors on September 8, 2017 and serves on the conflicts committee, audit committee and compensation committee. Until his retirement in 2017, Mr. Hussey served as a Managing Director of ING Bank N.V., in charge of ING’s ship finance business in Southern Europe and the Middle East. Mr. Hussey started his career with Citibank’s shipping team in 1974. He held a variety of positions within Ship Finance at Citibank and worked for 20 years in Hong Kong, New York, Taipei, and Athens. After returning to London, he headed Citi’s transportation finance syndications team. He joined ING Bank N.V. in 2001 in charge of shipping syndications before becoming head of Sales for the London Syndications team. Mr. Hussey subsequently returned to ship finance and became Managing Director of ING Bank N.V. in 2009. Mr. Hussey holds a M.Sc. (Econ) from the London School of Economics and Political Science.</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Eleni Tsoukala, Director.</w:t>
      </w:r>
    </w:p>
    <w:p>
      <w:pPr>
        <w:spacing w:after="0" w:line="172"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Ms. Tsoukala was appointed to our Board of Directors on February 28, 2018 and serves on the audit committee, compensation committee, conflicts committee and nominating committee. Ms. Tsoukala is the managing partner and founder of Tsoukala &amp; Partners Law Firm, a leading Greek business law firm. Her legal practice includes corporate advice in cross-border and domestic transactions. Between 2004 and 2007, Ms. Tsoukala served as legal advisor to the Greek Deputy Minister of Finance. Between 2001 and 2003, Ms. Tsoukala practiced at an international law firm in London. Ms. Tsoukala holds an LL.M. degree in International Business Law from University College London and an LL.B. degree from the University of Oxford and is a qualified attorney-at-law admitted to the bar in England and Greece.</w:t>
      </w:r>
    </w:p>
    <w:p>
      <w:pPr>
        <w:spacing w:after="0" w:line="131"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108</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109" w:name="page110"/>
    <w:bookmarkEnd w:id="109"/>
    <w:p>
      <w:pPr>
        <w:ind w:left="480"/>
        <w:spacing w:after="0"/>
        <w:rPr>
          <w:sz w:val="20"/>
          <w:szCs w:val="20"/>
          <w:color w:val="auto"/>
        </w:rPr>
      </w:pPr>
      <w:r>
        <w:rPr>
          <w:rFonts w:ascii="Times New Roman" w:cs="Times New Roman" w:eastAsia="Times New Roman" w:hAnsi="Times New Roman"/>
          <w:sz w:val="13"/>
          <w:szCs w:val="13"/>
          <w:b w:val="1"/>
          <w:bCs w:val="1"/>
          <w:color w:val="auto"/>
        </w:rPr>
        <w:t>Dimitris P. Christacopoulos, Director.</w:t>
      </w:r>
    </w:p>
    <w:p>
      <w:pPr>
        <w:spacing w:after="0" w:line="172"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Mr. Christacopoulos joined our Board of Directors on September 30, 2011, following our merger with NYSE-listed Crude Carriers, where he had served as a director since 2010 and he currently serves on the audit committee, conflicts committee and nominating committee. Mr. Christacopoulos currently is a Senior Partner at Octane Management Consultants, the fastest growing Greek consulting firm. He specializes in the areas of corporate strategy, finance, and performance improvement, having led more than 500 assignments for leading organizations in Europe and the US. He started his professional career as an analyst in the R&amp;D Department of a major food producer in Greece in 1992 before joining Booz Allen &amp; Hamilton Consulting in 1995 in New York. He subsequently joined Barclays Capital as the Director for Strategic Planning in London from 1999 to 2002 at which time he became Director of Corporate Finance &amp; Strategy at Aspis Group of Companies in Athens. In 2005, he joined Fortis Bank NV/SA as a Director in the Energy, Commodities and Transportation Group and until 2010 acted as the Deputy Country Head for Greece, setting up the bank’s Greek operations and expanding its presence in ship and energy finance in the region. Mr. Christacopoulos has a diploma in chemical engineering from the National Technical University of Athens and an MBA from Columbia Business School in New York.</w:t>
      </w:r>
    </w:p>
    <w:p>
      <w:pPr>
        <w:spacing w:after="0" w:line="133" w:lineRule="exact"/>
        <w:rPr>
          <w:sz w:val="20"/>
          <w:szCs w:val="20"/>
          <w:color w:val="auto"/>
        </w:rPr>
      </w:pPr>
    </w:p>
    <w:p>
      <w:pPr>
        <w:ind w:right="9880"/>
        <w:spacing w:after="0" w:line="514" w:lineRule="auto"/>
        <w:tabs>
          <w:tab w:leader="none" w:pos="479" w:val="left"/>
        </w:tabs>
        <w:numPr>
          <w:ilvl w:val="0"/>
          <w:numId w:val="8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Compensation Executive Compensation</w:t>
      </w: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The compensation of our Chief Executive Officer, Chief Financial Officer, Chief Commercial Officer and other individuals who provide certain executive, investor relations and corporate support services to us pursuant to the Executive Services Agreement is set and paid by CGP LLC. In consideration for CGP LLC and its affiliates providing such services, we pay to CGP LLC a fixed amount of $3.5 million per annum pursuant to the Executive Services Agreement. We do not have a retirement plan for our executive officers or directors. Officers and employees of CGP LLC or its affiliates may participate in employee benefit plans and arrangements sponsored by Capital Maritime, CGP LLC or their affiliates, including plans that may be established in the future. During the term of the Executive Services Agreement, the officers and consultants appointed by CGP LLC and its affiliates are also eligible to participate in all benefit programs as are from time to time made generally available to senior executives by the Company.</w:t>
      </w:r>
    </w:p>
    <w:p>
      <w:pPr>
        <w:spacing w:after="0" w:line="133"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Prior to the Conversion, the compensation of CGP LLC’s Chief Executive Officer, Chief Financial Officer, and Chief Commercial Officer was set and paid by CGP LLC, and we reimbursed CGP LLC for such costs and related expenses under relevant executive service agreements. For the year ended December 31, 2025 we paid CGP LLC $3.5 million pursuant to the Executive Services Agreement and the prior relevant executive services agreements as compensation for services related to the management of our business and affairs, including the appointment and performance of relevant duties of the chief executive officer, chief finance officer, and a number of additional officers.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Compensation of Directors</w:t>
      </w:r>
    </w:p>
    <w:p>
      <w:pPr>
        <w:spacing w:after="0" w:line="162" w:lineRule="exact"/>
        <w:rPr>
          <w:sz w:val="20"/>
          <w:szCs w:val="20"/>
          <w:color w:val="auto"/>
        </w:rPr>
      </w:pPr>
    </w:p>
    <w:p>
      <w:pPr>
        <w:jc w:val="both"/>
        <w:ind w:firstLine="479"/>
        <w:spacing w:after="0" w:line="238" w:lineRule="auto"/>
        <w:rPr>
          <w:sz w:val="20"/>
          <w:szCs w:val="20"/>
          <w:color w:val="auto"/>
        </w:rPr>
      </w:pPr>
      <w:r>
        <w:rPr>
          <w:rFonts w:ascii="Times New Roman" w:cs="Times New Roman" w:eastAsia="Times New Roman" w:hAnsi="Times New Roman"/>
          <w:sz w:val="13"/>
          <w:szCs w:val="13"/>
          <w:color w:val="auto"/>
        </w:rPr>
        <w:t>Our directors receive compensation for their services as directors, as well as for serving in the role of committee chair, and have also received restricted units, all of which have now vested and which were automatically converted into common shares on the Effective Date. Please read “—E. Share Ownership—Omnibus Incentive Compensation Plan” below for additional information. For the year ended December 31, 2025, our directors, including our chairman, received an aggregate cash amount of $0.7 million. In lieu of any other compensation, our chairman receives an annual fee for acting as a director and as the chairman of our board of directors. In addition, each director is reimbursed for out-of-pocket expenses in connection with attending meetings of the board of directors or committees and is fully indemnified by us for actions associated with being a director to the extent permitted under Marshall Islands law.</w:t>
      </w:r>
    </w:p>
    <w:p>
      <w:pPr>
        <w:spacing w:after="0" w:line="137"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109</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3"/>
          <w:szCs w:val="13"/>
          <w:b w:val="1"/>
          <w:bCs w:val="1"/>
          <w:color w:val="auto"/>
        </w:rPr>
        <w:t>Executive Services Agreement</w:t>
      </w:r>
    </w:p>
    <w:p>
      <w:pPr>
        <w:spacing w:after="0" w:line="17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The Executive Services Agreement replaced the previous executive services agreement, dated October 1, 2022, between the Company and the CGP LLC (the “Previous Executive Services Agreement”), which has been terminated as of the Effective Date. Pursuant to the Executive Services Agreement, CGP LLC and its affiliates provide certain executive, investor relations and corporate support services to the Company. In consideration for CGP LLC and its affiliates providing such services, the Company shall pay to CGP LLC a fixed amount of $3.5 million per annum. During the term of the Executive Services Agreement, the officers and consultants appointed by CGP LLC and its affiliates are eligible to participate in all benefit programs as are from time to time made generally available to senior executives by the Company. In addition, if any officer and consultant appointed by CGP LLC or its affiliates resigns under the relevant provisions of their employment and consultancy agreement with CGP LLC or its affiliates due to a “Change of Control” as defined in the Executive Services Agreement, the Company shall pay any compensation provided in such employment and consultancy agreement. The Company has also agreed to indemnify CGP LLC, its affiliates and its or their employees, shareholders, directors, consultants and agents against all actions, proceedings, claims, demands or liabilities which may be brought against them due to the Executive Services Agreement other than those which may be caused by or due to the fraud, gross negligence or willful misconduct of CGP LLC, its affiliates or its or their employees, shareholders, directors, consultants and agents.</w:t>
      </w:r>
    </w:p>
    <w:p>
      <w:pPr>
        <w:spacing w:after="0" w:line="132" w:lineRule="exact"/>
        <w:rPr>
          <w:sz w:val="20"/>
          <w:szCs w:val="20"/>
          <w:color w:val="auto"/>
        </w:rPr>
      </w:pPr>
    </w:p>
    <w:p>
      <w:pPr>
        <w:ind w:left="480" w:hanging="480"/>
        <w:spacing w:after="0"/>
        <w:tabs>
          <w:tab w:leader="none" w:pos="480" w:val="left"/>
        </w:tabs>
        <w:numPr>
          <w:ilvl w:val="0"/>
          <w:numId w:val="8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Board Practices</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Our senior management team manages our day-to-day activities consistent with the policies and procedures adopted by our board of directors. There are no service contracts between us and any of our directors providing for benefits upon termination of their employment or service.</w:t>
      </w:r>
    </w:p>
    <w:p>
      <w:pPr>
        <w:spacing w:after="0" w:line="114" w:lineRule="exact"/>
        <w:rPr>
          <w:sz w:val="20"/>
          <w:szCs w:val="20"/>
          <w:color w:val="auto"/>
        </w:rPr>
      </w:pPr>
    </w:p>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 xml:space="preserve">Although Nasdaq does not require a listed foreign private issuer like us to have a majority of independent directors on our board of directors or to establish a compensation committee or a nominating/corporate governance committee, our board of directors is currently comprised of directors a majority of whom are independent and has established an audit committee, a conflicts committee and a compensation committee comprised solely of independent directors and a nominating committee and an environmental, social and governance (ESG) committee, comprised of directors a majority of whom are independent. Each of the committees operates under a written charter adopted by our board of directors which is available under “Corporate Governance” in the Investor Relations tab of our web site at </w:t>
      </w:r>
      <w:r>
        <w:rPr>
          <w:rFonts w:ascii="Times New Roman" w:cs="Times New Roman" w:eastAsia="Times New Roman" w:hAnsi="Times New Roman"/>
          <w:sz w:val="13"/>
          <w:szCs w:val="13"/>
          <w:u w:val="single" w:color="auto"/>
          <w:color w:val="auto"/>
        </w:rPr>
        <w:t>www.capitalcleanenergycarriers.com</w:t>
      </w:r>
      <w:r>
        <w:rPr>
          <w:rFonts w:ascii="Times New Roman" w:cs="Times New Roman" w:eastAsia="Times New Roman" w:hAnsi="Times New Roman"/>
          <w:sz w:val="13"/>
          <w:szCs w:val="13"/>
          <w:color w:val="auto"/>
        </w:rPr>
        <w:t>. The information contained on, or that can be accessed through this website is not part of, and is not incorporated into, this Annual Report. The membership and main functions of each committee are described below.</w:t>
      </w:r>
    </w:p>
    <w:p>
      <w:pPr>
        <w:spacing w:after="0" w:line="133"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3"/>
          <w:szCs w:val="13"/>
          <w:i w:val="1"/>
          <w:iCs w:val="1"/>
          <w:u w:val="single" w:color="auto"/>
          <w:color w:val="auto"/>
        </w:rPr>
        <w:t>Audit Committee</w:t>
      </w:r>
      <w:r>
        <w:rPr>
          <w:rFonts w:ascii="Times New Roman" w:cs="Times New Roman" w:eastAsia="Times New Roman" w:hAnsi="Times New Roman"/>
          <w:sz w:val="13"/>
          <w:szCs w:val="13"/>
          <w:color w:val="auto"/>
        </w:rPr>
        <w:t>. The audit committee of our board of directors is composed of three or more independent directors, each of whom must meet the independence standards of Nasdaq, the SEC and any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other applicable laws and regulations governing independence from time to time. The audit committee is currently comprised of directors Keith Forman (Chair), Dimitris Christacopoulos, Rory Hussey, Martin Houston, and Eleni Tsoukala. All members of the committee are financially literate and our board of directors has determined that Mr. Rasterhoff qualifies as an “audit committee financial expert” for purposes of the U.S. Sarbanes-Oxley Act of 2002. The audit committee, among other things, reviews our external financial reporting, engages our external auditors and oversees our internal audit activities and procedures and the adequacy of our internal accounting controls.</w:t>
      </w:r>
    </w:p>
    <w:p>
      <w:pPr>
        <w:spacing w:after="0" w:line="130"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3"/>
          <w:szCs w:val="13"/>
          <w:i w:val="1"/>
          <w:iCs w:val="1"/>
          <w:u w:val="single" w:color="auto"/>
          <w:color w:val="auto"/>
        </w:rPr>
        <w:t>Conflicts Committee</w:t>
      </w:r>
      <w:r>
        <w:rPr>
          <w:rFonts w:ascii="Times New Roman" w:cs="Times New Roman" w:eastAsia="Times New Roman" w:hAnsi="Times New Roman"/>
          <w:sz w:val="13"/>
          <w:szCs w:val="13"/>
          <w:color w:val="auto"/>
        </w:rPr>
        <w:t>. The conflicts committee of our board of directors is composed of Dimitris Christacopoulos (Chair), Keith Forman, Rory Hussey and Eleni Tsoukala. Each member of our conflicts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committee (i) may not be a security holder, officer or employee of Capital Maritime or any of its affiliates, (ii) may not be a holder of any ownership interest in the Company other than common shares and (iii) must meet the independence standards established by Nasdaq to serve on an audit committee of a board of directors and certain other requirements. The conflicts committee reviews specific matters that the board believes may involve conflicts of interest and determines if the resolution of the conflict of interest is fair and reasonable to us. Pursuant to our Articles of Incorporation, to the fullest extent permitted by law, no contract, agreement, arrangement or transaction (nor any such amendments, modifications or supplements), nor the performance thereof by the Company, any subsidiary of the Company or Capital Maritime and its affiliates, shall be considered contrary to any fiduciary duty owed to the Company (or to any subsidiary of the Company, or to any stockholder of the Company or any of its subsidiaries) by any director or officer of the Company (or by any director or officer of any subsidiary of the Company), so long as such contract, agreement, arrangement or transaction (or any such amendment, modification or supplement) is approved by the conflicts committee.</w:t>
      </w:r>
    </w:p>
    <w:p>
      <w:pPr>
        <w:spacing w:after="0" w:line="134"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110</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111" w:name="page112"/>
    <w:bookmarkEnd w:id="111"/>
    <w:p>
      <w:pPr>
        <w:jc w:val="both"/>
        <w:ind w:firstLine="479"/>
        <w:spacing w:after="0" w:line="269" w:lineRule="auto"/>
        <w:rPr>
          <w:sz w:val="20"/>
          <w:szCs w:val="20"/>
          <w:color w:val="auto"/>
        </w:rPr>
      </w:pPr>
      <w:r>
        <w:rPr>
          <w:rFonts w:ascii="Times New Roman" w:cs="Times New Roman" w:eastAsia="Times New Roman" w:hAnsi="Times New Roman"/>
          <w:sz w:val="13"/>
          <w:szCs w:val="13"/>
          <w:i w:val="1"/>
          <w:iCs w:val="1"/>
          <w:u w:val="single" w:color="auto"/>
          <w:color w:val="auto"/>
        </w:rPr>
        <w:t>Compensation Committee</w:t>
      </w:r>
      <w:r>
        <w:rPr>
          <w:rFonts w:ascii="Times New Roman" w:cs="Times New Roman" w:eastAsia="Times New Roman" w:hAnsi="Times New Roman"/>
          <w:sz w:val="13"/>
          <w:szCs w:val="13"/>
          <w:color w:val="auto"/>
        </w:rPr>
        <w:t>. The compensation committee of our board of directors is composed entirely of independent directors, each of whom must meet the independence standards of Nasdaq, the SEC</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any other applicable laws and regulations governing independence from time to time. The compensation committee is currently composed of Rory Hussey (Chair), Keith Forman, Martin Houston and Eleni Tsoukala. The compensation committee reviews compensation of the members of the board of directors and has overall responsibility for approving and evaluating our compensation plans, policies and programs, but not the compensation of the executive officers of the Company pursuant to the Executive Services Agreement.</w:t>
      </w:r>
    </w:p>
    <w:p>
      <w:pPr>
        <w:spacing w:after="0" w:line="128" w:lineRule="exact"/>
        <w:rPr>
          <w:sz w:val="20"/>
          <w:szCs w:val="20"/>
          <w:color w:val="auto"/>
        </w:rPr>
      </w:pPr>
    </w:p>
    <w:p>
      <w:pPr>
        <w:jc w:val="both"/>
        <w:ind w:firstLine="479"/>
        <w:spacing w:after="0" w:line="258" w:lineRule="auto"/>
        <w:rPr>
          <w:sz w:val="20"/>
          <w:szCs w:val="20"/>
          <w:color w:val="auto"/>
        </w:rPr>
      </w:pPr>
      <w:r>
        <w:rPr>
          <w:rFonts w:ascii="Times New Roman" w:cs="Times New Roman" w:eastAsia="Times New Roman" w:hAnsi="Times New Roman"/>
          <w:sz w:val="13"/>
          <w:szCs w:val="13"/>
          <w:i w:val="1"/>
          <w:iCs w:val="1"/>
          <w:u w:val="single" w:color="auto"/>
          <w:color w:val="auto"/>
        </w:rPr>
        <w:t>Nominating Committee</w:t>
      </w:r>
      <w:r>
        <w:rPr>
          <w:rFonts w:ascii="Times New Roman" w:cs="Times New Roman" w:eastAsia="Times New Roman" w:hAnsi="Times New Roman"/>
          <w:sz w:val="13"/>
          <w:szCs w:val="13"/>
          <w:color w:val="auto"/>
        </w:rPr>
        <w:t>. The nominating committee of our board of directors is composed of directors a majority of whom must meet the independence standards of Nasdaq, the SEC and any other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applicable laws and regulations governing independence from time to time. The nominating committee is currently composed of Eleni Tsoukala (chair), Dimitris Christacopoulos and Gerasimos (Jerry) Kalogiratos. As a foreign private issuer under SEC rules, we are not required to comply with the requirements under the Nasdaq listing rules that the Nominating Committee be comprised solely of independent directors and the charter of the committee provides that as long as we are a foreign private issuer, only a majority of the members of the Nominating Committee need be independent directors under the Nasdaq listing rules. The nominating committee’s responsibilities include (i) identifying individuals believed to be qualified to become directors and to select, or recommend to our board, the nominees to stand for election as directors as meetings of shareholders, (ii) subject to the Shareholders’ Agreement and applicable law, considering a director’s offer of resignation which specifies it is subject to acceptance and recommending to our board whether to accept the resignation or reject it and (iii) developing and recommending to our board standards to be applies in making determinations as to the absence of material relationships between us and a director. Pursuant to the Shareholders’ Agreement, so long as Capital Maritime and its affiliates own at least 25% of the outstanding common shares, Capital Maritime and its affiliates will have the right to nominate three out of the eight directors to our board. If the holdings of Capital Maritime and its affiliates fall below 25% but remain above 15% of the outstanding common shares, Capital Maritime and its affiliates will have the right to nominate two out of eight directors to our board. If the holdings of Capital Maritime and its affiliates fall below 15% but remain above 5% of the outstanding common shares, Capital Maritime and its affiliates will have the right to nominate one out of eight directors to our board. If the holdings of Capital Maritime and its affiliates fall below 5%, Capital Maritime will no longer have any rights to nominate directors to our board. The remaining members of our board are nominated by the nominating committee. As of the date of this Annual Report, Capital Maritime and its affiliates have the right to nominate three directors to our board, who are Gerasimos “Jerry” Kalogiratos, Gurpal Grewal and Atsunori Kozuki. For so long as Capital Maritime and its affiliates have the right to nominate at least one director pursuant to the Shareholders’ Agreement, we shall include, and shall cause the nominating committee to include, any such nominee designated by Capital Maritime and its affiliates in the slate of nominees recommended by the nominating committee to our board as nominees to stand for election as directors at the annual meeting of our shareholders or, if applicable, at a special meeting of our shareholders. In addition, for so long as Capital Maritime and its affiliates have the right to nominate at least one director pursuant to the Shareholders’ Agreement, Capital Maritime and its affiliates shall not designate individuals for nomination to our board of directors (nor participate in nominating, nor encourage any other person to recommend or propose for nomination, any individuals to our board of directors) other than pursuant to its nomination rights under the Shareholders’ Agreement or otherwise with the approval of the nominating committee.</w:t>
      </w:r>
    </w:p>
    <w:p>
      <w:pPr>
        <w:spacing w:after="0" w:line="142" w:lineRule="exact"/>
        <w:rPr>
          <w:sz w:val="20"/>
          <w:szCs w:val="20"/>
          <w:color w:val="auto"/>
        </w:rPr>
      </w:pPr>
    </w:p>
    <w:p>
      <w:pPr>
        <w:jc w:val="both"/>
        <w:ind w:firstLine="479"/>
        <w:spacing w:after="0" w:line="269" w:lineRule="auto"/>
        <w:rPr>
          <w:sz w:val="20"/>
          <w:szCs w:val="20"/>
          <w:color w:val="auto"/>
        </w:rPr>
      </w:pPr>
      <w:r>
        <w:rPr>
          <w:rFonts w:ascii="Times New Roman" w:cs="Times New Roman" w:eastAsia="Times New Roman" w:hAnsi="Times New Roman"/>
          <w:sz w:val="13"/>
          <w:szCs w:val="13"/>
          <w:i w:val="1"/>
          <w:iCs w:val="1"/>
          <w:u w:val="single" w:color="auto"/>
          <w:color w:val="auto"/>
        </w:rPr>
        <w:t>Environmental, Social and Governance (ESG) Committee</w:t>
      </w:r>
      <w:r>
        <w:rPr>
          <w:rFonts w:ascii="Times New Roman" w:cs="Times New Roman" w:eastAsia="Times New Roman" w:hAnsi="Times New Roman"/>
          <w:sz w:val="13"/>
          <w:szCs w:val="13"/>
          <w:color w:val="auto"/>
        </w:rPr>
        <w:t>. The environmental, social and governance (ESG) committee of our board of directors is composed of four members, who shall be appointed by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our board, but need not be directors of the Company. The ESG committee is currently composed of Keith Forman (Chair), Gerasimos (Jerry) Kalogiratos, Atsunori Kozuki and Stergios Stergiou. Stergios Stergiou is not a member of our board. The ESG committee provides oversight and guidance with respect to environmental, social and corporate governance matters involving the Company, evaluates and recommends initiatives with respect to such matters and assesses risks and opportunities related to such matters.</w:t>
      </w:r>
    </w:p>
    <w:p>
      <w:pPr>
        <w:spacing w:after="0" w:line="1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Employees</w:t>
      </w:r>
    </w:p>
    <w:p>
      <w:pPr>
        <w:spacing w:after="0" w:line="170"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Our board of directors has appointed officers of the Company who provide services to us pursuant to the Executive Services Agreement. We currently rely solely on the services of these officers provided to us pursuant to the Executive Services Agreement. These officers are not required to work full-time on our affairs and may also work for Capital Maritime and/or its affiliates.</w:t>
      </w:r>
    </w:p>
    <w:p>
      <w:pPr>
        <w:spacing w:after="0" w:line="114"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111</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112" w:name="page113"/>
    <w:bookmarkEnd w:id="112"/>
    <w:p>
      <w:pPr>
        <w:ind w:firstLine="479"/>
        <w:spacing w:after="0" w:line="293" w:lineRule="auto"/>
        <w:rPr>
          <w:sz w:val="20"/>
          <w:szCs w:val="20"/>
          <w:color w:val="auto"/>
        </w:rPr>
      </w:pPr>
      <w:r>
        <w:rPr>
          <w:rFonts w:ascii="Times New Roman" w:cs="Times New Roman" w:eastAsia="Times New Roman" w:hAnsi="Times New Roman"/>
          <w:sz w:val="13"/>
          <w:szCs w:val="13"/>
          <w:color w:val="auto"/>
        </w:rPr>
        <w:t>All of the executive officers of CGP LLC who provide services to us pursuant to the Executive Services Agreement and one of our directors also are executive officers, directors or employees of Capital Maritime, Capital Ship Management or their respective affiliates.</w:t>
      </w:r>
    </w:p>
    <w:p>
      <w:pPr>
        <w:spacing w:after="0" w:line="112" w:lineRule="exact"/>
        <w:rPr>
          <w:sz w:val="20"/>
          <w:szCs w:val="20"/>
          <w:color w:val="auto"/>
        </w:rPr>
      </w:pPr>
    </w:p>
    <w:p>
      <w:pPr>
        <w:ind w:left="480" w:hanging="480"/>
        <w:spacing w:after="0"/>
        <w:tabs>
          <w:tab w:leader="none" w:pos="480" w:val="left"/>
        </w:tabs>
        <w:numPr>
          <w:ilvl w:val="0"/>
          <w:numId w:val="9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Share Ownership</w:t>
      </w:r>
    </w:p>
    <w:p>
      <w:pPr>
        <w:spacing w:after="0" w:line="171" w:lineRule="exact"/>
        <w:rPr>
          <w:rFonts w:ascii="Times New Roman" w:cs="Times New Roman" w:eastAsia="Times New Roman" w:hAnsi="Times New Roman"/>
          <w:sz w:val="13"/>
          <w:szCs w:val="13"/>
          <w:b w:val="1"/>
          <w:bCs w:val="1"/>
          <w:color w:val="auto"/>
        </w:rPr>
      </w:pPr>
    </w:p>
    <w:p>
      <w:pPr>
        <w:ind w:left="48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of December 31, 2025, no member of our board of directors owns common shares in a number representing more than 1.0% of our outstanding common shares.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Omnibus Incentive Compensation Plan</w:t>
      </w:r>
    </w:p>
    <w:p>
      <w:pPr>
        <w:spacing w:after="0" w:line="172" w:lineRule="exact"/>
        <w:rPr>
          <w:sz w:val="20"/>
          <w:szCs w:val="20"/>
          <w:color w:val="auto"/>
        </w:rPr>
      </w:pPr>
    </w:p>
    <w:p>
      <w:pPr>
        <w:jc w:val="both"/>
        <w:ind w:firstLine="479"/>
        <w:spacing w:after="0" w:line="267" w:lineRule="auto"/>
        <w:rPr>
          <w:sz w:val="20"/>
          <w:szCs w:val="20"/>
          <w:color w:val="auto"/>
        </w:rPr>
      </w:pPr>
      <w:r>
        <w:rPr>
          <w:rFonts w:ascii="Times New Roman" w:cs="Times New Roman" w:eastAsia="Times New Roman" w:hAnsi="Times New Roman"/>
          <w:sz w:val="13"/>
          <w:szCs w:val="13"/>
          <w:color w:val="auto"/>
        </w:rPr>
        <w:t>On April 29, 2008, our board of directors adopted an omnibus incentive compensation plan (the “Plan”), according to which we were entitled to issue a limited number of awards to our employees, consultants, officers, directors or affiliates, including the employees, consultants, officers or directors of CGP LLC, our Managers, Capital Maritime and certain key affiliates and other eligible persons. The Plan contemplated awards in the form of incentive stock options, non-qualified stock options, stock appreciation rights, dividend equivalent rights, restricted stock, unrestricted stock, restricted stock units and performance shares. The Plan was administered by CGP LLC as authorized by our board of directors. The Plan was amended from time to time. See Note 15 (Omnibus Incentive Compensation Plan) to our Financial Statements.</w:t>
      </w:r>
    </w:p>
    <w:p>
      <w:pPr>
        <w:spacing w:after="0" w:line="293"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In July 2019, the board of directors adopted an amended and restated Plan, so as to reserve for issuance a maximum number of 740,000 restricted common units. On the same day, the Company awarded 445,000 unvested units. Awards vested in three equal installments ending on December 31, 2021. All awards under the amended Plan were conditional upon the grantee’s continued service until the applicable vesting date.</w:t>
      </w:r>
    </w:p>
    <w:p>
      <w:pPr>
        <w:spacing w:after="0" w:line="127"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In January 2022, the board of directors adopted an amended and restated Plan, so as to reserve for issuance a maximum number of 750,000 restricted common units. On March 18, 2022, the Company awarded 743,800 unvested units. Awards granted to beneficiaries vested in three equal installments. One third of the shares awarded, namely 247,934, 247,933 and 247,933 shares vested on December 31, 2024, 2023 and 2022 respectively.</w:t>
      </w:r>
    </w:p>
    <w:p>
      <w:pPr>
        <w:spacing w:after="0" w:line="127"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On December 30, 2022, the Company awarded 1,969 unvested units. The units were fully vested on December 31, 2022. In January 2024, the board of directors adopted an amended and restated Plan and reserved for issuance a maximum number of 3,300,000 restricted common units. On January 25, 2024, 1,100,000 common units of the 3,300,000 restricted common units were issued. On January 1, 2025, the Company awarded 1,050,000 unvested shares with a grant-date fair value of $18.27 per share. Awards granted will vest in three equal installments. One third of the shares awarded, namely 350,000 shares vested on December 31, 2025.</w:t>
      </w:r>
    </w:p>
    <w:p>
      <w:pPr>
        <w:spacing w:after="0" w:line="81"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On the Effective Date, in connection with the Conversion, the board of directors adopted an amended and restated Plan and reserved for issuance a maximum number of 3,300,000 restricted common shares. Any awards granted under the Plan prior to the Conversion are deemed to refer to common shares instead of common units and are counted against the aggregate number of common shares available for awards under the amended and restated Plan. The amended and restated Plan is administered by the board of directors or such committee of the board of directors as may be designated by the board of directors from time to time. Subject to compliance with applicable law, the board of directors (or a committee thereof) may allocate among its members and delegate to any person who is not director, including CGP LLC, or to any administrative group within the Company, any of its power, responsibilities or duties under the amended and restated Plan. The board of directors has sole and plenary authority to (i) approve the aggregate number and type of awards which will be available from time to time for grants to participants under the amended and restated Plan and (ii) determine the number and type or types of awards to be granted to directors and make all other award determinations with respect to directors under the amended and restated Plan.</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As of the date of this Annual Report, the total number of restricted common shares remaining available under the amended and restated Plan was 2,200,000.</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All awards under the amended Plan are conditional upon the grantee’s continued service until the applicable vesting date.</w:t>
      </w:r>
    </w:p>
    <w:p>
      <w:pPr>
        <w:spacing w:after="0" w:line="170"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112</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3"/>
          <w:szCs w:val="13"/>
          <w:b w:val="1"/>
          <w:bCs w:val="1"/>
          <w:color w:val="auto"/>
        </w:rPr>
        <w:t>Item 7. Major Shareholders and Related-Party Transactions.</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As of December 31, 2025, our authorized capital stock consisted of 500,000,000 common shares and 100,000,000 preferred shares, par value of $0.01, in each case, that we may issue without further shareholder approval, of which 59,487,853 common shares were outstanding excluding 1,221,061 common shares held in treasury. No preferred shares were outstanding as of December 31, 2025. As of December 31, 2025, 24,546,343 common shares were owned by public shareholders.</w:t>
      </w:r>
    </w:p>
    <w:p>
      <w:pPr>
        <w:spacing w:after="0" w:line="127"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On January 25, 2021, the Partnership’s Board of Directors approved a unit repurchase program, providing the Partnership with authorization to repurchase up to $30.0 million of units of the Partnership’s common units, effective for a period of two years through January 2023.</w:t>
      </w:r>
    </w:p>
    <w:p>
      <w:pPr>
        <w:spacing w:after="0" w:line="11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On January 26, 2023, the Board approved our new Unit Repurchase Program, providing the Partnership with authorization to repurchase up to $30.0 million of the Partnership’s common units, effective for a period of two years through January 2025.</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All units purchased pursuant to the Unit Repurchase Program were automatically cancelled upon the Conversion. The Unit Repurchase Program expired in January 2025.</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As of the date of this Annual Report, the Company had purchased 1,076,495 common shares in total under both programs.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Please see “Item 16—E. Purchases of Equity Securities by the Issuer and Affiliated Purchasers.”</w:t>
      </w:r>
    </w:p>
    <w:p>
      <w:pPr>
        <w:spacing w:after="0" w:line="170"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Based on 60,113,445 common shares outstanding (excluding 871,061 common shares held in treasury) as of the date of this Annual Report, the Marinakis family, including Evangelos M. Marinakis, the chairman of Capital Maritime, may be deemed to beneficially own a 58.6% interest in us, through (i) Capital Maritime, which may be deemed to beneficially own 28,909,263 common shares representing a 48.1% interest in us, (ii) Capital Gas, which may be deemed to beneficially own 1,176,297 common shares representing a 2.0% interest in us and (iii) CGP LLC, which may be deemed to beneficially own 5,106,071 common shares representing an 8.5% interest in us.</w:t>
      </w:r>
    </w:p>
    <w:p>
      <w:pPr>
        <w:spacing w:after="0" w:line="131"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As of the date of this Annual Report, there were two holders of record of our common shares that have a U.S. mailing address. One of these two holders is CEDE &amp; Co., a nominee company for The Depository Trust Company (a registered clearing agency with the SEC), which held approximately 46.7% of our outstanding common shares (excluding 871,061 common shares held in treasury) as of such date. The beneficial owners of the common shares held by CEDE &amp; Co. may include persons who reside outside the United States.</w:t>
      </w:r>
    </w:p>
    <w:p>
      <w:pPr>
        <w:spacing w:after="0" w:line="125" w:lineRule="exact"/>
        <w:rPr>
          <w:sz w:val="20"/>
          <w:szCs w:val="20"/>
          <w:color w:val="auto"/>
        </w:rPr>
      </w:pPr>
    </w:p>
    <w:p>
      <w:pPr>
        <w:ind w:left="480" w:hanging="480"/>
        <w:spacing w:after="0"/>
        <w:tabs>
          <w:tab w:leader="none" w:pos="480" w:val="left"/>
        </w:tabs>
        <w:numPr>
          <w:ilvl w:val="0"/>
          <w:numId w:val="9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Major Shareholders</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The following table sets forth as of the date of this Annual Report the beneficial ownership of our common shares by each person we know beneficially owns more than 5.0% or more of our common shares, and all of our directors and executive officers as a group. The number of shares beneficially owned by each person is determined under SEC rules and the information is not necessarily indicative of beneficial ownership for any other purpose. Under SEC rules a person beneficially owns any shares as to which the person has or shares voting or investment power.</w:t>
      </w:r>
    </w:p>
    <w:p>
      <w:pPr>
        <w:sectPr>
          <w:pgSz w:w="11900" w:h="16838" w:orient="portrait"/>
          <w:cols w:equalWidth="0" w:num="1">
            <w:col w:w="11280"/>
          </w:cols>
          <w:pgMar w:left="300" w:top="544" w:right="31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b w:val="1"/>
          <w:bCs w:val="1"/>
          <w:color w:val="auto"/>
        </w:rPr>
        <w:t>Name of Beneficial Owner</w:t>
      </w:r>
    </w:p>
    <w:p>
      <w:pPr>
        <w:ind w:left="80"/>
        <w:spacing w:after="0" w:line="204" w:lineRule="auto"/>
        <w:rPr>
          <w:sz w:val="20"/>
          <w:szCs w:val="20"/>
          <w:color w:val="auto"/>
        </w:rPr>
      </w:pPr>
      <w:r>
        <w:rPr>
          <w:rFonts w:ascii="Times New Roman" w:cs="Times New Roman" w:eastAsia="Times New Roman" w:hAnsi="Times New Roman"/>
          <w:sz w:val="13"/>
          <w:szCs w:val="13"/>
          <w:color w:val="auto"/>
        </w:rPr>
        <w:t xml:space="preserve">Capital Maritime </w:t>
      </w:r>
      <w:r>
        <w:rPr>
          <w:rFonts w:ascii="Times New Roman" w:cs="Times New Roman" w:eastAsia="Times New Roman" w:hAnsi="Times New Roman"/>
          <w:sz w:val="22"/>
          <w:szCs w:val="22"/>
          <w:color w:val="auto"/>
          <w:vertAlign w:val="superscript"/>
        </w:rPr>
        <w:t>(1)</w:t>
      </w:r>
    </w:p>
    <w:p>
      <w:pPr>
        <w:ind w:left="80"/>
        <w:spacing w:after="0" w:line="180" w:lineRule="auto"/>
        <w:rPr>
          <w:sz w:val="20"/>
          <w:szCs w:val="20"/>
          <w:color w:val="auto"/>
        </w:rPr>
      </w:pPr>
      <w:r>
        <w:rPr>
          <w:rFonts w:ascii="Times New Roman" w:cs="Times New Roman" w:eastAsia="Times New Roman" w:hAnsi="Times New Roman"/>
          <w:sz w:val="13"/>
          <w:szCs w:val="13"/>
          <w:color w:val="auto"/>
        </w:rPr>
        <w:t xml:space="preserve">Capital Gas </w:t>
      </w:r>
      <w:r>
        <w:rPr>
          <w:rFonts w:ascii="Times New Roman" w:cs="Times New Roman" w:eastAsia="Times New Roman" w:hAnsi="Times New Roman"/>
          <w:sz w:val="22"/>
          <w:szCs w:val="22"/>
          <w:color w:val="auto"/>
          <w:vertAlign w:val="superscript"/>
        </w:rPr>
        <w:t>(1)</w:t>
      </w:r>
    </w:p>
    <w:p>
      <w:pPr>
        <w:ind w:left="80"/>
        <w:spacing w:after="0" w:line="180" w:lineRule="auto"/>
        <w:rPr>
          <w:sz w:val="20"/>
          <w:szCs w:val="20"/>
          <w:color w:val="auto"/>
        </w:rPr>
      </w:pPr>
      <w:r>
        <w:rPr>
          <w:rFonts w:ascii="Times New Roman" w:cs="Times New Roman" w:eastAsia="Times New Roman" w:hAnsi="Times New Roman"/>
          <w:sz w:val="13"/>
          <w:szCs w:val="13"/>
          <w:color w:val="auto"/>
        </w:rPr>
        <w:t>CGP LLC</w:t>
      </w:r>
      <w:r>
        <w:rPr>
          <w:rFonts w:ascii="Times New Roman" w:cs="Times New Roman" w:eastAsia="Times New Roman" w:hAnsi="Times New Roman"/>
          <w:sz w:val="22"/>
          <w:szCs w:val="22"/>
          <w:color w:val="auto"/>
          <w:vertAlign w:val="superscript"/>
        </w:rPr>
        <w:t>(1)</w:t>
      </w:r>
    </w:p>
    <w:p>
      <w:pPr>
        <w:ind w:left="80"/>
        <w:spacing w:after="0" w:line="188" w:lineRule="auto"/>
        <w:rPr>
          <w:sz w:val="20"/>
          <w:szCs w:val="20"/>
          <w:color w:val="auto"/>
        </w:rPr>
      </w:pPr>
      <w:r>
        <w:rPr>
          <w:rFonts w:ascii="Times New Roman" w:cs="Times New Roman" w:eastAsia="Times New Roman" w:hAnsi="Times New Roman"/>
          <w:sz w:val="13"/>
          <w:szCs w:val="13"/>
          <w:color w:val="auto"/>
        </w:rPr>
        <w:t xml:space="preserve">Yoda PLC </w:t>
      </w:r>
      <w:r>
        <w:rPr>
          <w:rFonts w:ascii="Times New Roman" w:cs="Times New Roman" w:eastAsia="Times New Roman" w:hAnsi="Times New Roman"/>
          <w:sz w:val="21"/>
          <w:szCs w:val="21"/>
          <w:color w:val="auto"/>
          <w:vertAlign w:val="superscript"/>
        </w:rPr>
        <w:t>(2)</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 xml:space="preserve">All executive officers and directors as a group (ten persons) </w:t>
      </w:r>
      <w:r>
        <w:rPr>
          <w:rFonts w:ascii="Times New Roman" w:cs="Times New Roman" w:eastAsia="Times New Roman" w:hAnsi="Times New Roman"/>
          <w:sz w:val="22"/>
          <w:szCs w:val="22"/>
          <w:color w:val="auto"/>
          <w:vertAlign w:val="superscript"/>
        </w:rPr>
        <w:t>(3)</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Percentage of Total Common</w:t>
            </w:r>
          </w:p>
        </w:tc>
      </w:tr>
      <w:tr>
        <w:trPr>
          <w:trHeight w:val="150"/>
        </w:trPr>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Number of Common Shares</w:t>
            </w:r>
          </w:p>
        </w:tc>
        <w:tc>
          <w:tcPr>
            <w:tcW w:w="14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Shars (excluding treasury</w:t>
            </w:r>
          </w:p>
        </w:tc>
      </w:tr>
      <w:tr>
        <w:trPr>
          <w:trHeight w:val="161"/>
        </w:trPr>
        <w:tc>
          <w:tcPr>
            <w:tcW w:w="15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2"/>
                <w:szCs w:val="12"/>
                <w:b w:val="1"/>
                <w:bCs w:val="1"/>
                <w:color w:val="auto"/>
              </w:rPr>
              <w:t>Owned</w:t>
            </w:r>
          </w:p>
        </w:tc>
        <w:tc>
          <w:tcPr>
            <w:tcW w:w="140" w:type="dxa"/>
            <w:vAlign w:val="bottom"/>
          </w:tcPr>
          <w:p>
            <w:pPr>
              <w:spacing w:after="0"/>
              <w:rPr>
                <w:sz w:val="13"/>
                <w:szCs w:val="13"/>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shares of 871,061)</w:t>
            </w:r>
          </w:p>
        </w:tc>
      </w:tr>
      <w:tr>
        <w:trPr>
          <w:trHeight w:val="182"/>
        </w:trPr>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28,909,263</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48.1%</w:t>
            </w:r>
          </w:p>
        </w:tc>
      </w:tr>
      <w:tr>
        <w:trPr>
          <w:trHeight w:val="190"/>
        </w:trPr>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1,176,297</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90"/>
        </w:trPr>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5,106,071</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77"/>
        </w:trPr>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17,175,137</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28.6%</w:t>
            </w:r>
          </w:p>
        </w:tc>
      </w:tr>
      <w:tr>
        <w:trPr>
          <w:trHeight w:val="173"/>
        </w:trPr>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-4990465</wp:posOffset>
            </wp:positionH>
            <wp:positionV relativeFrom="paragraph">
              <wp:posOffset>-582295</wp:posOffset>
            </wp:positionV>
            <wp:extent cx="7167880" cy="1206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7880" cy="120650"/>
                    </a:xfrm>
                    <a:prstGeom prst="rect">
                      <a:avLst/>
                    </a:prstGeom>
                    <a:noFill/>
                  </pic:spPr>
                </pic:pic>
              </a:graphicData>
            </a:graphic>
          </wp:anchor>
        </w:drawing>
        <w:drawing>
          <wp:anchor simplePos="0" relativeHeight="251657728" behindDoc="1" locked="0" layoutInCell="0" allowOverlap="1">
            <wp:simplePos x="0" y="0"/>
            <wp:positionH relativeFrom="column">
              <wp:posOffset>-4990465</wp:posOffset>
            </wp:positionH>
            <wp:positionV relativeFrom="paragraph">
              <wp:posOffset>-341630</wp:posOffset>
            </wp:positionV>
            <wp:extent cx="7167880" cy="1206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7880" cy="120650"/>
                    </a:xfrm>
                    <a:prstGeom prst="rect">
                      <a:avLst/>
                    </a:prstGeom>
                    <a:noFill/>
                  </pic:spPr>
                </pic:pic>
              </a:graphicData>
            </a:graphic>
          </wp:anchor>
        </w:drawing>
        <w:drawing>
          <wp:anchor simplePos="0" relativeHeight="251657728" behindDoc="1" locked="0" layoutInCell="0" allowOverlap="1">
            <wp:simplePos x="0" y="0"/>
            <wp:positionH relativeFrom="column">
              <wp:posOffset>-4990465</wp:posOffset>
            </wp:positionH>
            <wp:positionV relativeFrom="paragraph">
              <wp:posOffset>-100965</wp:posOffset>
            </wp:positionV>
            <wp:extent cx="7167880" cy="1206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7880" cy="120650"/>
                    </a:xfrm>
                    <a:prstGeom prst="rect">
                      <a:avLst/>
                    </a:prstGeom>
                    <a:noFill/>
                  </pic:spPr>
                </pic:pic>
              </a:graphicData>
            </a:graphic>
          </wp:anchor>
        </w:drawing>
      </w:r>
    </w:p>
    <w:p>
      <w:pPr>
        <w:spacing w:after="0" w:line="256" w:lineRule="exact"/>
        <w:rPr>
          <w:sz w:val="20"/>
          <w:szCs w:val="20"/>
          <w:color w:val="auto"/>
        </w:rPr>
      </w:pPr>
    </w:p>
    <w:p>
      <w:pPr>
        <w:sectPr>
          <w:pgSz w:w="11900" w:h="16838" w:orient="portrait"/>
          <w:cols w:equalWidth="0" w:num="2">
            <w:col w:w="7140" w:space="720"/>
            <w:col w:w="3420"/>
          </w:cols>
          <w:pgMar w:left="300" w:top="544" w:right="319" w:bottom="1440" w:gutter="0" w:footer="0" w:header="0"/>
          <w:type w:val="continuous"/>
        </w:sectPr>
      </w:pPr>
    </w:p>
    <w:p>
      <w:pPr>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113</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type w:val="continuous"/>
        </w:sectPr>
      </w:pPr>
    </w:p>
    <w:bookmarkStart w:id="114" w:name="page115"/>
    <w:bookmarkEnd w:id="114"/>
    <w:p>
      <w:pPr>
        <w:jc w:val="both"/>
        <w:ind w:left="240" w:hanging="240"/>
        <w:spacing w:after="0" w:line="274" w:lineRule="auto"/>
        <w:tabs>
          <w:tab w:leader="none" w:pos="240"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Marinakis family, including Evangelos M. Marinakis, our former chairman, through its ownership of Capital Maritime may be deemed to beneficially own, or to have beneficially owned, all of our common shares held by Capital Maritime. The Marinakis family, including Miltiadis E. Marinakis, through its ownership of 100% of Capital Gas and CGP LLC, may be deemed to beneficially own all of our common shares held by Capital Gas and CGP LLC. The principal business office and address of each of Capital Maritime, Capital Gas and CGP LLC is c/o Capital Maritime, 3 Iassonos Street Piraeus, 18537, Greece.</w:t>
      </w:r>
    </w:p>
    <w:p>
      <w:pPr>
        <w:spacing w:after="0" w:line="156" w:lineRule="exact"/>
        <w:rPr>
          <w:rFonts w:ascii="Times New Roman" w:cs="Times New Roman" w:eastAsia="Times New Roman" w:hAnsi="Times New Roman"/>
          <w:sz w:val="12"/>
          <w:szCs w:val="12"/>
          <w:color w:val="auto"/>
        </w:rPr>
      </w:pPr>
    </w:p>
    <w:p>
      <w:pPr>
        <w:ind w:left="240" w:hanging="240"/>
        <w:spacing w:after="0"/>
        <w:tabs>
          <w:tab w:leader="none" w:pos="240" w:val="left"/>
        </w:tabs>
        <w:numPr>
          <w:ilvl w:val="0"/>
          <w:numId w:val="9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reported in a Schedule 13D amendment filed on September 29, 2025 by (i) Yoda PLC, a public limited liability company incorporated in Cyprus (“Yoda”) and (ii) Ioannis Papalekas. According to the Schedule 13D amendment,</w:t>
      </w:r>
    </w:p>
    <w:p>
      <w:pPr>
        <w:spacing w:after="0" w:line="28" w:lineRule="exact"/>
        <w:rPr>
          <w:rFonts w:ascii="Times New Roman" w:cs="Times New Roman" w:eastAsia="Times New Roman" w:hAnsi="Times New Roman"/>
          <w:sz w:val="11"/>
          <w:szCs w:val="11"/>
          <w:color w:val="auto"/>
        </w:rPr>
      </w:pPr>
    </w:p>
    <w:p>
      <w:pPr>
        <w:jc w:val="both"/>
        <w:ind w:left="240"/>
        <w:spacing w:after="0" w:line="27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(i) the principal business of Yoda consists of holding of investments and the provision of financing and the address of its principal office is 48 Themistokli Dervi Avenue, 7th Floor, Suite 703, 1066 Nicosia, Cyprus and (ii) Ioannis Papalekas is a businessman who, among others, founded Globalworth Real Estate Investments Limited, a real estate company traded on the London Stock Exchange and his principal address is 10 Aphrodite Street, Flat 301, P.C. 1060, Nicosia, Cyprus. According to the Schedule 13D, Ioannis Papalekas, who is the controlling shareholder of Yoda, may be deemed to beneficially own the common shares directly held by Yoda.</w:t>
      </w:r>
    </w:p>
    <w:p>
      <w:pPr>
        <w:spacing w:after="0" w:line="158" w:lineRule="exact"/>
        <w:rPr>
          <w:rFonts w:ascii="Times New Roman" w:cs="Times New Roman" w:eastAsia="Times New Roman" w:hAnsi="Times New Roman"/>
          <w:sz w:val="11"/>
          <w:szCs w:val="11"/>
          <w:color w:val="auto"/>
        </w:rPr>
      </w:pPr>
    </w:p>
    <w:p>
      <w:pPr>
        <w:ind w:left="240" w:hanging="240"/>
        <w:spacing w:after="0"/>
        <w:tabs>
          <w:tab w:leader="none" w:pos="240"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 “Item 6. Directors, Senior Management and Employees-E. Share Ownership” above.</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Our major shareholders have the same voting rights as our other shareholders, except as set forth in the Shareholders’ Agreement and the Registration Rights Agreement.</w:t>
      </w:r>
    </w:p>
    <w:p>
      <w:pPr>
        <w:spacing w:after="0" w:line="170" w:lineRule="exact"/>
        <w:rPr>
          <w:sz w:val="20"/>
          <w:szCs w:val="20"/>
          <w:color w:val="auto"/>
        </w:rPr>
      </w:pPr>
    </w:p>
    <w:p>
      <w:pPr>
        <w:jc w:val="both"/>
        <w:ind w:firstLine="479"/>
        <w:spacing w:after="0" w:line="260" w:lineRule="auto"/>
        <w:rPr>
          <w:sz w:val="20"/>
          <w:szCs w:val="20"/>
          <w:color w:val="auto"/>
        </w:rPr>
      </w:pPr>
      <w:r>
        <w:rPr>
          <w:rFonts w:ascii="Times New Roman" w:cs="Times New Roman" w:eastAsia="Times New Roman" w:hAnsi="Times New Roman"/>
          <w:sz w:val="13"/>
          <w:szCs w:val="13"/>
          <w:color w:val="auto"/>
        </w:rPr>
        <w:t>The Shareholders’ Agreement sets forth certain governance rights and other matters with respect to the Company. Pursuant to the Shareholders’ Agreement, so long as Capital Maritime and its affiliates own at least 25% of the outstanding common shares, Capital Maritime and its affiliates will have the right to nominate three out of the eight directors to our board. If the holdings of Capital Maritime and its affiliates fall below 25% but remain above 15% of the outstanding common shares, Capital Maritime and its affiliates will have the right to nominate two out of eight directors to our board. If the holdings of Capital Maritime and its affiliates fall below 15% but remain above 5% of the outstanding common shares, Capital Maritime and its affiliates will have the right to nominate one out of eight directors to our board. If the holdings of Capital Maritime and its affiliates fall below 5%, Capital Maritime will no longer have any rights to nominate directors to our board. The remaining members of the board are nominated by our nominating committee. As of the date of this Annual Report, Capital Maritime and its affiliates have the right to nominate three directors to our board, who are Gerasimos “Jerry” Kalogiratos, Gurpal Grewal and Atsunori Kozuki. For so long as Capital Maritime and its affiliates have the right to nominate at least one director pursuant to the Shareholders’ Agreement, we shall include, and shall cause our nominating committee to include, any such nominee designated by Capital Maritime and its affiliates in the slate of nominees recommended by the nominating committee to holders of common shares for election to our board of directors. In addition, for so long as Capital Maritime and its affiliates have the right to nominate at least one director pursuant to the Shareholders’ Agreement, Capital Maritime and its affiliates shall not designate individuals for nomination to our board (nor participate in nominating, nor encourage any other person to recommend or propose for nomination, any individuals to our board) other than pursuant to its nomination rights under the Shareholders’ Agreement or otherwise with the approval of the nominating committee.</w:t>
      </w:r>
    </w:p>
    <w:p>
      <w:pPr>
        <w:spacing w:after="0" w:line="135" w:lineRule="exact"/>
        <w:rPr>
          <w:sz w:val="20"/>
          <w:szCs w:val="20"/>
          <w:color w:val="auto"/>
        </w:rPr>
      </w:pPr>
    </w:p>
    <w:p>
      <w:pPr>
        <w:jc w:val="both"/>
        <w:ind w:firstLine="479"/>
        <w:spacing w:after="0" w:line="260" w:lineRule="auto"/>
        <w:rPr>
          <w:sz w:val="20"/>
          <w:szCs w:val="20"/>
          <w:color w:val="auto"/>
        </w:rPr>
      </w:pPr>
      <w:r>
        <w:rPr>
          <w:rFonts w:ascii="Times New Roman" w:cs="Times New Roman" w:eastAsia="Times New Roman" w:hAnsi="Times New Roman"/>
          <w:sz w:val="13"/>
          <w:szCs w:val="13"/>
          <w:color w:val="auto"/>
        </w:rPr>
        <w:t>Pursuant to the Registration Rights Agreement, if the Capital Parties, Paparebecorp Limited, a Cyprus limited liability company (“Paparebecorp”) or Ascetico Limited, a Cyprus limited liability company (together with Paparebecorp and their affiliates, the “Yoda Parties”) desire to sell common shares and Rule 144 of the Securities Act or another exemption from registration is not available to enable such person to dispose of the number of securities it desires to sell at the time it desires to do so without registration under the Securities Act (such securities, the “Registrable Securities”), then, at the request of Capital Maritime, we shall file a “Shelf Registration Statement” pursuant to and as defined in the Registration Rights Agreement, with the SEC as promptly as practicable after receiving such request, and will use its reasonable best efforts to cause it to become effective and remain continuously effective and in compliance with the Securities Act and useable for the resale of Registrable Securities until such time as there are no Registrable Securities remaining, including by filing successive replacement or renewal Shelf Registration Statements upon the expiration of such Shelf Registration Statement. Any holder of Registrable Securities (a “Holder”) may request that it be included in such Shelf Registration Statement as a selling securityholder with respect to any Registrable Securities then held by it, subject to the provisions of the Registration Rights Agreement. At any time during which a Shelf Registration Statement is not in effect and we are not then in the process of preparing for filing with the SEC a Shelf Registration Statement or an amendment or supplement to a Shelf Registration Statement necessary so that such Shelf Registration Statement continues to be in effect in compliance with the Securities Act, any Holder may request to sell all or part of its Registrable Securities pursuant to a registration statement separate from a Shelf Registration Statement.</w:t>
      </w:r>
    </w:p>
    <w:p>
      <w:pPr>
        <w:spacing w:after="0" w:line="137"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114</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89" w:right="319" w:bottom="1440" w:gutter="0" w:footer="0" w:header="0"/>
        </w:sectPr>
      </w:pPr>
    </w:p>
    <w:bookmarkStart w:id="115" w:name="page116"/>
    <w:bookmarkEnd w:id="115"/>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The Capital Parties together with any direct or indirect transferee, are entitled to demand up to four underwritten offerings pursuant to the Registration Rights Agreement and the Yoda Parties are entitled to demand one underwritten registration.</w:t>
      </w:r>
    </w:p>
    <w:p>
      <w:pPr>
        <w:spacing w:after="0" w:line="11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If at any time we propose to file a registration statement under the Securities Act for an offering of securities for cash (other than an offering relating solely to an employee benefit plan), we will use all reasonable best efforts to include such number or amount of Registrable Securities held by any Holder in such registration statement as the Holder shall request, subject to customary cut back provisions.</w:t>
      </w:r>
    </w:p>
    <w:p>
      <w:pPr>
        <w:spacing w:after="0" w:line="114"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If the conflicts committee determines in good faith that the requested registration would be materially detrimental to us because such registration would (x) materially interfere in a way materially adverse to us with a significant acquisition, merger, disposition, corporate reorganization or other similar transaction involving us, (y) require premature disclosure of material information that we have a bona fide business purpose for preserving as confidential or (z) render us unable to comply with requirements under applicable securities laws, then we shall have the right to postpone such requested registration for a period of not more than 90 days, such right not to be utilized more than twice in any 12-month period.</w:t>
      </w:r>
    </w:p>
    <w:p>
      <w:pPr>
        <w:spacing w:after="0" w:line="131"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All costs and expenses of any such registration and offering (other than the underwriting discounts and commissions) shall be paid by us without reimbursement by the Holder. We also agreed to indemnify each Holder, its officers, directors and each person who controls the Holder for any claims based upon, arising out of or resulting from any untrue statement or alleged untrue statement of any material fact in connection with any registration pursuant to the Registration Rights Agreement.</w:t>
      </w:r>
    </w:p>
    <w:p>
      <w:pPr>
        <w:spacing w:after="0" w:line="125" w:lineRule="exact"/>
        <w:rPr>
          <w:sz w:val="20"/>
          <w:szCs w:val="20"/>
          <w:color w:val="auto"/>
        </w:rPr>
      </w:pPr>
    </w:p>
    <w:p>
      <w:pPr>
        <w:ind w:left="480" w:hanging="480"/>
        <w:spacing w:after="0"/>
        <w:tabs>
          <w:tab w:leader="none" w:pos="480" w:val="left"/>
        </w:tabs>
        <w:numPr>
          <w:ilvl w:val="0"/>
          <w:numId w:val="9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Related-Party Transactions</w:t>
      </w:r>
    </w:p>
    <w:p>
      <w:pPr>
        <w:spacing w:after="0" w:line="172"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Pursuant to the Shareholders’ Agreement, so long as Capital Maritime and its affiliates own certain amounts of the outstanding common shares, Capital Maritime and its affiliates will have the right to nominate up to three out of the eight directors to our board. As of the date of this Annual Report, Capital Maritime and its affiliates have the right to nominate three directors to our board, who are Gerasimos “Jerry” Kalogiratos, Gurpal Grewal and Atsunori Kozuki. Capital Maritime and its affiliates can vote the common shares they hold in their totality on all matters that arise under our Articles of Incorporation. Accordingly, Capital Maritime and its affiliates have the ability to exercise significant influence on important actions we may take.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Administrative and executive services agreements with Capital Ship Management and CGP LLC</w:t>
      </w:r>
    </w:p>
    <w:p>
      <w:pPr>
        <w:spacing w:after="0" w:line="172" w:lineRule="exact"/>
        <w:rPr>
          <w:sz w:val="20"/>
          <w:szCs w:val="20"/>
          <w:color w:val="auto"/>
        </w:rPr>
      </w:pPr>
    </w:p>
    <w:p>
      <w:pPr>
        <w:jc w:val="both"/>
        <w:ind w:firstLine="479"/>
        <w:spacing w:after="0" w:line="267" w:lineRule="auto"/>
        <w:rPr>
          <w:sz w:val="20"/>
          <w:szCs w:val="20"/>
          <w:color w:val="auto"/>
        </w:rPr>
      </w:pPr>
      <w:r>
        <w:rPr>
          <w:rFonts w:ascii="Times New Roman" w:cs="Times New Roman" w:eastAsia="Times New Roman" w:hAnsi="Times New Roman"/>
          <w:sz w:val="13"/>
          <w:szCs w:val="13"/>
          <w:color w:val="auto"/>
        </w:rPr>
        <w:t>On April 4, 2007, we entered into an administrative services agreement with Capital Ship Management, pursuant to which Capital Ship Management has agreed to provide certain administrative management services to the Company, such as accounting, auditing, legal, insurance, clerical, and other administrative services. On the same date, we entered into an IT services agreement with Capital Ship Management pursuant to which Capital Ship Management provides IT management services to the Company. We also reimburse Capital Ship Management for reasonable costs and expenses incurred in connection with the provision of these services pursuant to both agreements after Capital Ship Management submits to us an invoice for such costs and expenses, together with any supporting detail that may be reasonably required.</w:t>
      </w:r>
    </w:p>
    <w:p>
      <w:pPr>
        <w:spacing w:after="0" w:line="293"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In 2022, we amended the Previous Executive Services Agreement with CGP LLC according to which CGP LLC provided certain executive officers services for the management of the Company’s business as well as investor relations and corporate support services to the Company. During the year ended December 31, 2025, we paid $3.5 million pursuant to the Previous Executive Services Agreement.</w:t>
      </w:r>
    </w:p>
    <w:p>
      <w:pPr>
        <w:spacing w:after="0" w:line="114" w:lineRule="exact"/>
        <w:rPr>
          <w:sz w:val="20"/>
          <w:szCs w:val="20"/>
          <w:color w:val="auto"/>
        </w:rPr>
      </w:pPr>
    </w:p>
    <w:p>
      <w:pPr>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115</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116" w:name="page117"/>
    <w:bookmarkEnd w:id="116"/>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The Executive Services Agreement replaced the Previous Executive Services Agreement, which has been terminated as of the Effective Date. Pursuant to the Executive Services Agreement, CGP LLC and its affiliates provide certain executive, investor relations and corporate support services to us. In consideration for CGP LLC and its affiliates providing such services, we pay to CGP LLC a fixed amount of $3.5 million per annum. During the term of the Executive Services Agreement, the officers and consultants appointed by CGP LLC and its affiliates are eligible to participate in all benefit programs as are from time to time made generally available to senior executives by the Company. In addition, if any officer and consultant appointed by CGP LLC or its affiliates resigns under the relevant provisions of their employment and consultancy agreement with CGP LLC or its affiliates due to a “Change of Control” as defined in the Executive Services Agreement, we shall pay any compensation provided in such employment and consultancy agreement. We also agreed to indemnify CGP LLC, its affiliates and its or their employees, shareholders, directors, consultants and agents against all actions, proceedings, claims, demands or liabilities which may be brought against them due to the Executive Services Agreement other than those which may be caused by or due to the fraud, gross negligence or willful misconduct of CGP LLC, its affiliates or its or their employees, shareholders, directors, consultants and agents.</w:t>
      </w:r>
    </w:p>
    <w:p>
      <w:pPr>
        <w:spacing w:after="0" w:line="137"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In 2018, Capital Ship Management conducted a management buy-out led by its senior management. Since then, Capital Ship Management is no longer part of the group of companies controlled by Capital Maritime.</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See Note 5 (Transactions with Related Parties) to our Financial Statements for additional information on fees pays under our management agreements.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Management Agreements with Capital-Containers Ship Management Corp. and Capital-Gas Ship Management Corp.</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In July and August 2025, we completed the process of changing the manager of our container vessels from Capital-Executive to Capital Containers, a privately held company ultimately controlled by Mr.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Miltiadis E. Marinakis.</w:t>
      </w:r>
    </w:p>
    <w:p>
      <w:pPr>
        <w:spacing w:after="0" w:line="157" w:lineRule="exact"/>
        <w:rPr>
          <w:sz w:val="20"/>
          <w:szCs w:val="20"/>
          <w:color w:val="auto"/>
        </w:rPr>
      </w:pPr>
    </w:p>
    <w:p>
      <w:pPr>
        <w:jc w:val="both"/>
        <w:ind w:firstLine="479"/>
        <w:spacing w:after="0" w:line="286" w:lineRule="auto"/>
        <w:rPr>
          <w:sz w:val="20"/>
          <w:szCs w:val="20"/>
          <w:color w:val="auto"/>
        </w:rPr>
      </w:pPr>
      <w:r>
        <w:rPr>
          <w:rFonts w:ascii="Times New Roman" w:cs="Times New Roman" w:eastAsia="Times New Roman" w:hAnsi="Times New Roman"/>
          <w:sz w:val="13"/>
          <w:szCs w:val="13"/>
          <w:color w:val="auto"/>
        </w:rPr>
        <w:t>We have floating fee (or fixed fee in case a vessel in our fleet is employed under a bareboat charter) management agreements with Capital-Containers with respect to our container vessels and with Capital-Gas Management with respect to our LNG/C vessels and other vessels. Each of Capital-Containers and Capital-Gas Management is a privately held company ultimately controlled by Mr. Miltiadis E. Marinakis.</w:t>
      </w:r>
    </w:p>
    <w:p>
      <w:pPr>
        <w:spacing w:after="0" w:line="2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Under our management agreements with Capital-Containers and Capital-Gas Management:</w:t>
      </w:r>
    </w:p>
    <w:p>
      <w:pPr>
        <w:spacing w:after="0" w:line="170" w:lineRule="exact"/>
        <w:rPr>
          <w:sz w:val="20"/>
          <w:szCs w:val="20"/>
          <w:color w:val="auto"/>
        </w:rPr>
      </w:pPr>
    </w:p>
    <w:p>
      <w:pPr>
        <w:ind w:left="960" w:hanging="481"/>
        <w:spacing w:after="0"/>
        <w:tabs>
          <w:tab w:leader="none" w:pos="960" w:val="left"/>
        </w:tabs>
        <w:numPr>
          <w:ilvl w:val="0"/>
          <w:numId w:val="9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we pay the relevant Manager a daily technical management fee per vessel, which is revised annually based on the United States Consumer Price Index;</w:t>
      </w:r>
    </w:p>
    <w:p>
      <w:pPr>
        <w:spacing w:after="0" w:line="169" w:lineRule="exact"/>
        <w:rPr>
          <w:rFonts w:ascii="Arial" w:cs="Arial" w:eastAsia="Arial" w:hAnsi="Arial"/>
          <w:sz w:val="13"/>
          <w:szCs w:val="13"/>
          <w:b w:val="1"/>
          <w:bCs w:val="1"/>
          <w:color w:val="auto"/>
        </w:rPr>
      </w:pPr>
    </w:p>
    <w:p>
      <w:pPr>
        <w:ind w:left="960" w:hanging="481"/>
        <w:spacing w:after="0" w:line="292" w:lineRule="auto"/>
        <w:tabs>
          <w:tab w:leader="none" w:pos="960" w:val="left"/>
        </w:tabs>
        <w:numPr>
          <w:ilvl w:val="0"/>
          <w:numId w:val="9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we indemnify our Managers for expenses and liabilities they incur on our behalf in the provision of the contracted for services, including, for example, crew, repairs and maintenance, insurance, stores, spares, lubricants and other operating costs; and</w:t>
      </w:r>
    </w:p>
    <w:p>
      <w:pPr>
        <w:spacing w:after="0" w:line="114" w:lineRule="exact"/>
        <w:rPr>
          <w:rFonts w:ascii="Arial" w:cs="Arial" w:eastAsia="Arial" w:hAnsi="Arial"/>
          <w:sz w:val="13"/>
          <w:szCs w:val="13"/>
          <w:b w:val="1"/>
          <w:bCs w:val="1"/>
          <w:color w:val="auto"/>
        </w:rPr>
      </w:pPr>
    </w:p>
    <w:p>
      <w:pPr>
        <w:ind w:left="960" w:hanging="481"/>
        <w:spacing w:after="0"/>
        <w:tabs>
          <w:tab w:leader="none" w:pos="960" w:val="left"/>
        </w:tabs>
        <w:numPr>
          <w:ilvl w:val="0"/>
          <w:numId w:val="9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we bear all costs and expenses associated with a vessel’s drydocking.</w:t>
      </w:r>
    </w:p>
    <w:p>
      <w:pPr>
        <w:spacing w:after="0" w:line="169"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For the year ended December 31, 2025, management fees under the management agreements amounted to $9.1 million. We expect that vessels acquired in the future will be managed under similar floating fee (or under fixed fee in case the vessel is employed under a bareboat charter) management arrangements.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Supervision services agreements with Capital-Gas Ship Management Corp.</w:t>
      </w:r>
    </w:p>
    <w:p>
      <w:pPr>
        <w:spacing w:after="0" w:line="172"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We pay a fixed fee to the relevant Manager in order to supervise the performance of the design, building, equipment, completion and delivery by the shipyard of the respective vessels. For the year ended December 31, 2025, supervision fees under the supervision services agreements amounted to $4.1 million and were recognized as part of the construction cost.</w:t>
      </w:r>
    </w:p>
    <w:p>
      <w:pPr>
        <w:spacing w:after="0" w:line="114"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116</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117" w:name="page118"/>
    <w:bookmarkEnd w:id="117"/>
    <w:p>
      <w:pPr>
        <w:jc w:val="both"/>
        <w:ind w:firstLine="479"/>
        <w:spacing w:after="0" w:line="266" w:lineRule="auto"/>
        <w:rPr>
          <w:sz w:val="20"/>
          <w:szCs w:val="20"/>
          <w:color w:val="auto"/>
        </w:rPr>
      </w:pPr>
      <w:r>
        <w:rPr>
          <w:rFonts w:ascii="Times New Roman" w:cs="Times New Roman" w:eastAsia="Times New Roman" w:hAnsi="Times New Roman"/>
          <w:sz w:val="13"/>
          <w:szCs w:val="13"/>
          <w:color w:val="auto"/>
        </w:rPr>
        <w:t>See Note 5 (Transactions with Related Parties) to our Financial Statements for additional information on fees paid under our management agreements with Capital-Containers and Capital-Gas Management.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Shareholders’ Agreement</w:t>
      </w:r>
    </w:p>
    <w:p>
      <w:pPr>
        <w:spacing w:after="0" w:line="172" w:lineRule="exact"/>
        <w:rPr>
          <w:sz w:val="20"/>
          <w:szCs w:val="20"/>
          <w:color w:val="auto"/>
        </w:rPr>
      </w:pPr>
    </w:p>
    <w:p>
      <w:pPr>
        <w:jc w:val="both"/>
        <w:ind w:firstLine="479"/>
        <w:spacing w:after="0" w:line="259" w:lineRule="auto"/>
        <w:rPr>
          <w:sz w:val="20"/>
          <w:szCs w:val="20"/>
          <w:color w:val="auto"/>
        </w:rPr>
      </w:pPr>
      <w:r>
        <w:rPr>
          <w:rFonts w:ascii="Times New Roman" w:cs="Times New Roman" w:eastAsia="Times New Roman" w:hAnsi="Times New Roman"/>
          <w:sz w:val="13"/>
          <w:szCs w:val="13"/>
          <w:color w:val="auto"/>
        </w:rPr>
        <w:t>In connection with the Conversion, on the Effective Date, we entered into the Shareholders’ Agreement with the Capital Parties. The Shareholders’ Agreement sets forth certain governance rights and other matters with respect to the Company. Pursuant to the Shareholders’ Agreement, so long as Capital Maritime and its affiliates own at least 25% of the outstanding common shares, Capital Maritime and its affiliates will have the right to nominate three out of the eight directors to our board. If the holdings of Capital Maritime and its affiliates fall below 25% but remain above 15% of the outstanding common shares, Capital Maritime and its affiliates will have the right to nominate two out of eight directors to our board. If the holdings of Capital Maritime and its affiliates fall below 15% but remain above 5% of the outstanding common shares, Capital Maritime and its affiliates will have the right to nominate one out of eight directors to our board. If the holdings of Capital Maritime and its affiliates fall below 5%, Capital Maritime will no longer have any rights to nominate directors to our board. The remaining members of the board are nominated by our nominating committee. As of the date of this Annual Report, Capital Maritime and its affiliates have the right to nominate three directors to our board, who are Gerasimos “Jerry” Kalogiratos, Gurpal Grewal and Atsunori Kozuki. For so long as Capital Maritime and its affiliates have the right to nominate at least one director pursuant to the Shareholders’ Agreement, we shall include, and shall cause our nominating committee to include, any such nominee designated by Capital Maritime and its affiliates in the slate of nominees recommended by the nominating committee to holders of common shares for election to our board of directors. In addition, for so long as Capital Maritime and its affiliates have the right to nominate at least one director pursuant to the Shareholders’ Agreement, Capital Maritime and its affiliates shall not designate individuals for nomination to our board (nor participate in nominating, nor encourage any other person to recommend or propose for nomination, any individuals to our board) other than pursuant to its nomination rights under the Shareholders’ Agreement or otherwise with the approval of the nominating committee.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Registration Rights Agreement</w:t>
      </w:r>
    </w:p>
    <w:p>
      <w:pPr>
        <w:spacing w:after="0" w:line="172" w:lineRule="exact"/>
        <w:rPr>
          <w:sz w:val="20"/>
          <w:szCs w:val="20"/>
          <w:color w:val="auto"/>
        </w:rPr>
      </w:pPr>
    </w:p>
    <w:p>
      <w:pPr>
        <w:jc w:val="both"/>
        <w:ind w:firstLine="479"/>
        <w:spacing w:after="0" w:line="260" w:lineRule="auto"/>
        <w:rPr>
          <w:sz w:val="20"/>
          <w:szCs w:val="20"/>
          <w:color w:val="auto"/>
        </w:rPr>
      </w:pPr>
      <w:r>
        <w:rPr>
          <w:rFonts w:ascii="Times New Roman" w:cs="Times New Roman" w:eastAsia="Times New Roman" w:hAnsi="Times New Roman"/>
          <w:sz w:val="13"/>
          <w:szCs w:val="13"/>
          <w:color w:val="auto"/>
        </w:rPr>
        <w:t>In connection with the Conversion, on the Effective Date, we entered into the Registration Rights Agreement with the Capital Parties and the Yoda Parties. Pursuant to the Registration Rights Agreement, if the Capital Parties or the Yoda Parties desire to sell common shares and Rule 144 of the Securities Act or another exemption from registration is not available to enable such person to dispose of the number of securities it desires to sell at the time it desires to do so without registration under the Securities Act (such securities, the “Registrable Securities”), then, at the request of Capital Maritime, we shall file a “Shelf Registration Statement” pursuant to and as defined in the Registration Rights Agreement, with the SEC as promptly as practicable after receiving such request, and will use its reasonable best efforts to cause it to become effective and remain continuously effective and in compliance with the Securities Act and useable for the resale of Registrable Securities until such time as there are no Registrable Securities remaining, including by filing successive replacement or renewal Shelf Registration Statements upon the expiration of such Shelf Registration Statement. Any holder of Registrable Securities (a “Holder”) may request that it be included in such Shelf Registration Statement as a selling securityholder with respect to any Registrable Securities then held by it, subject to the provisions of the Registration Rights Agreement. At any time during which a Shelf Registration Statement is not in effect and we are not then in the process of preparing for filing with the SEC a Shelf Registration Statement or an amendment or supplement to a Shelf Registration Statement necessary so that such Shelf Registration Statement continues to be in effect in compliance with the Securities Act, any Holder may request to sell all or part of its Registrable Securities pursuant to a registration statement separate from a Shelf Registration Statement.</w:t>
      </w:r>
    </w:p>
    <w:p>
      <w:pPr>
        <w:spacing w:after="0" w:line="137"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The Capital Parties together with any direct or indirect transferee, are entitled to demand up to four underwritten offerings pursuant to the Registration Rights Agreement and the Yoda Parties are entitled to demand one underwritten registration.</w:t>
      </w:r>
    </w:p>
    <w:p>
      <w:pPr>
        <w:spacing w:after="0" w:line="11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If at any time we propose to file a registration statement under the Securities Act for an offering of securities for cash (other than an offering relating solely to an employee benefit plan), we will use all reasonable best efforts to include such number or amount of Registrable Securities held by any Holder in such registration statement as the Holder shall request, subject to customary cut back provisions.</w:t>
      </w:r>
    </w:p>
    <w:p>
      <w:pPr>
        <w:spacing w:after="0" w:line="114"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117</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118" w:name="page119"/>
    <w:bookmarkEnd w:id="118"/>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If the conflicts committee determines in good faith that the requested registration would be materially detrimental to us because such registration would (x) materially interfere in a way materially adverse to us with a significant acquisition, merger, disposition, corporate reorganization or other similar transaction involving us, (y) require premature disclosure of material information that we have a bona fide business purpose for preserving as confidential or (z) render us unable to comply with requirements under applicable securities laws, then we shall have the right to postpone such requested registration for a period of not more than 90 days, such right not to be utilized more than twice in any 12-month period.</w:t>
      </w:r>
    </w:p>
    <w:p>
      <w:pPr>
        <w:spacing w:after="0" w:line="131"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All costs and expenses of any such registration and offering (other than the underwriting discounts and commissions) shall be paid by us without reimbursement by the Holder. We also agreed to indemnify each Holder, its officers, directors and each person who controls the Holder for any claims based upon, arising out of or resulting from any untrue statement or alleged untrue statement of any material fact in connection with any registration pursuant to the Registration Rights Agreement.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Transactions entered into during the year ended December 31, 2025 and up to the date of this Annual Report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Supervision services agreements with Capital-Gas Management</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During the year ended December 31, 2025, the Company announced the order of three latest technology LNG/C vessels and each vessel-owning company of the respective under-construction vessels entered into a separate supervision services agreement with Capital-Gas Management in order to supervise the performance of the design, building, equipment, completion and delivery by the shipyard of the respective under-construction vessels.</w:t>
      </w:r>
    </w:p>
    <w:p>
      <w:pPr>
        <w:spacing w:after="0" w:line="1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Floating Rate Management Agreements with Capital-Containers</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In July 2025, the vessel-owning subsidiary of the M/V Itajai Express entered into a floating rate management agreement with Capital-Containers, pursuant to which Capital-Containers provides certain commercial and technical management services.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CONFLICTS OF INTEREST AND FIDUCIARY DUTIES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Conflicts of Interest</w:t>
      </w:r>
    </w:p>
    <w:p>
      <w:pPr>
        <w:spacing w:after="0" w:line="172" w:lineRule="exact"/>
        <w:rPr>
          <w:sz w:val="20"/>
          <w:szCs w:val="20"/>
          <w:color w:val="auto"/>
        </w:rPr>
      </w:pPr>
    </w:p>
    <w:p>
      <w:pPr>
        <w:jc w:val="both"/>
        <w:ind w:firstLine="479"/>
        <w:spacing w:after="0" w:line="260" w:lineRule="auto"/>
        <w:rPr>
          <w:sz w:val="20"/>
          <w:szCs w:val="20"/>
          <w:color w:val="auto"/>
        </w:rPr>
      </w:pPr>
      <w:r>
        <w:rPr>
          <w:rFonts w:ascii="Times New Roman" w:cs="Times New Roman" w:eastAsia="Times New Roman" w:hAnsi="Times New Roman"/>
          <w:sz w:val="13"/>
          <w:szCs w:val="13"/>
          <w:color w:val="auto"/>
        </w:rPr>
        <w:t>In the Articles of Incorporation we renounced, to the fullest extent permitted by law, any interest or expectancy in, or right to be offered an opportunity to participate in, any business opportunity which may be a corporate opportunity for Capital Maritime or any of its affiliates (the “Identified Persons”) and us or our affiliates. No Identified Person has any duty to refrain from directly or indirectly (a) engaging in the same or similar business activities or lines of business in which we or our affiliates engage or propose to engage, or (b) otherwise competing with us or our affiliates, and, to the fullest extent permitted by law, no Identified Person shall be liable to us or our shareholders or to any of our affiliates for breach of any fiduciary duty solely because such Identified Person engages in any such activities. In the event that any Identified Person acquires knowledge of a potential transaction or other business opportunity which may be a corporate opportunity for such Identified Person and us or our affiliates, such Identified Person, to the fullest extent permitted by law, has no duty to communicate or offer such transaction or business opportunity to us or our affiliates and, to the fullest extent permitted by law, shall not be liable to us or our shareholders or to any of our affiliates for breach of any fiduciary duty as a shareholder, director or officer of ours because such Identified Person pursues or acquires such corporate opportunity for themselves, or offers or directs such corporate opportunity to another person. We did not renounce our interest in any corporate opportunity (a) offered to any Identified Person if (i) such opportunity is expressly offered to such Identified Person solely in their capacity as a director or officer of ours, (ii) such Identified Person believed that we possessed, or would reasonably be expected to be able to possess, the resources necessary to exploit such opportunity and (iii) we or our subsidiaries are directly engaged in such business at the time such opportunity is offered to such Identified Person or (b) required to be offered to the us pursuant to Section 3.7 of the Umbrella Agreement.</w:t>
      </w:r>
    </w:p>
    <w:p>
      <w:pPr>
        <w:spacing w:after="0" w:line="297"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118</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119" w:name="page120"/>
    <w:bookmarkEnd w:id="119"/>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The Articles of Incorporation also provide that no contract, agreement, arrangement or transaction entered into between us and/or any of our subsidiaries, on the one hand, and an Identified Person, on the other hand, beforethe Conversion shall be void or voidable or be considered unfair to us or any of our subsidiaries solely because such Identified Person is a party thereto, or because any directors, officers or employees of such Identified Person were present at or participated in any meeting of our board, or a committee thereof, or the board of directors, or committee thereof, of any of our subsidiaries, that authorized the contract, agreement, arrangement or transaction, or because such Identified Person’s votes were counted for such purpose. We and our subsidiaries may from time to time enter into and perform contracts, agreements, arrangements or transactions with an Identified Person. To the fullest extent permitted by law, no such contract, agreement, arrangement or transaction, nor the performance thereof by us or our subsidiaries or an Identified Person, shall be considered contrary to any fiduciary duty owed to us, any of our subsidiaries or to any of our or our subsidiaries’ stockholders by any director or officer so long as such contract, agreement, arrangement or transaction, in addition to any requirements under applicable law, is (i) approved by a majority of the members of a committee of our board comprised solely of independent directors, (ii) approved by the vote of holders of a majority of the outstanding common shares (excluding common shares owned by the Identified Persons), (iii) on terms no less favorable to us or our subsidiary, as applicable, than those generally being provided to or available from unrelated third parties or (iv) fair to us, taking into account the totality of the relationships between the parties involved.</w:t>
      </w:r>
    </w:p>
    <w:p>
      <w:pPr>
        <w:spacing w:after="0" w:line="132" w:lineRule="exact"/>
        <w:rPr>
          <w:sz w:val="20"/>
          <w:szCs w:val="20"/>
          <w:color w:val="auto"/>
        </w:rPr>
      </w:pPr>
    </w:p>
    <w:p>
      <w:pPr>
        <w:jc w:val="both"/>
        <w:ind w:firstLine="479"/>
        <w:spacing w:after="0" w:line="296" w:lineRule="auto"/>
        <w:rPr>
          <w:sz w:val="20"/>
          <w:szCs w:val="20"/>
          <w:color w:val="auto"/>
        </w:rPr>
      </w:pPr>
      <w:r>
        <w:rPr>
          <w:rFonts w:ascii="Times New Roman" w:cs="Times New Roman" w:eastAsia="Times New Roman" w:hAnsi="Times New Roman"/>
          <w:sz w:val="13"/>
          <w:szCs w:val="13"/>
          <w:b w:val="1"/>
          <w:bCs w:val="1"/>
          <w:color w:val="auto"/>
        </w:rPr>
        <w:t>Neither our Articles of Incorporation nor any other agreement requires CGP LLC or its affiliates to pursue a business strategy that favors us or utilizes our assets or dictates what markets to pursue or grow.</w:t>
      </w:r>
    </w:p>
    <w:p>
      <w:pPr>
        <w:spacing w:after="0" w:line="11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Because all of the officers of CGP LLC and its affiliates who provide services to us pursuant to the Executive Services Agreement, and one of our directors, are also directors, officers or employees of Capital Maritime or its affiliates, such officers and director have fiduciary duties to Capital Maritime that may cause them to pursue business strategies that disproportionately benefit Capital Maritime or which otherwise are not in the best interests of us or our shareholders.</w:t>
      </w:r>
    </w:p>
    <w:p>
      <w:pPr>
        <w:spacing w:after="0" w:line="1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We rely solely on the services of officers provided to us pursuant to our Executive Services Agreement.</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Our Chief Executive Officer, Chief Financial Officer and Chief Commercial Officer are also executive officers or employees of Capital Maritime, Capital Ship Management or their respective affiliates.</w:t>
      </w:r>
    </w:p>
    <w:p>
      <w:pPr>
        <w:spacing w:after="0" w:line="170"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If the activities of Capital Maritime, Capital Ship Management or their respective affiliates are significantly greater than our activities, there could be material competition for the time and effort of the officers who provide services to Capital Maritime, Capital Ship Management or their respective affiliates. Our executive officers are not required to work full-time on our affairs.</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Common shareholders will have no right to enforce obligations of CGP LLC and its affiliates under agreements with us.</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Any agreements between us, on the one hand, and CGP LLC and its affiliates, on the other, will not grant to our shareholders, separate and apart from us, the right to enforce the obligations of CGP LLC and its affiliates in our favor.</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Contracts between us, on the one hand, and Capital Maritime or CGP LLC, on the other hand, will not be the result of arm’s-length negotiations.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Neither our Certificate of Incorporation nor any of the other agreements, contracts and arrangements among Capital Maritime or CGP LLC and us were the result of arm’s-length negotiations.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Our Certificate of Incorporation generally provides that any affiliated transaction, such as an agreement, contract or arrangement between us and CGP LLC and its affiliates, must be:</w:t>
      </w:r>
    </w:p>
    <w:p>
      <w:pPr>
        <w:spacing w:after="0" w:line="170" w:lineRule="exact"/>
        <w:rPr>
          <w:sz w:val="20"/>
          <w:szCs w:val="20"/>
          <w:color w:val="auto"/>
        </w:rPr>
      </w:pPr>
    </w:p>
    <w:p>
      <w:pPr>
        <w:ind w:left="960" w:hanging="481"/>
        <w:spacing w:after="0"/>
        <w:tabs>
          <w:tab w:leader="none" w:pos="960" w:val="left"/>
        </w:tabs>
        <w:numPr>
          <w:ilvl w:val="0"/>
          <w:numId w:val="9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approved by a majority of the members of our conflicts committee;</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9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approved by the vote of a majority of the common shares (excluding common shares owned by Capital Maritime and its affiliates);</w:t>
      </w:r>
    </w:p>
    <w:p>
      <w:pPr>
        <w:spacing w:after="0" w:line="169"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119</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120" w:name="page121"/>
    <w:bookmarkEnd w:id="120"/>
    <w:p>
      <w:pPr>
        <w:ind w:left="960" w:hanging="481"/>
        <w:spacing w:after="0"/>
        <w:tabs>
          <w:tab w:leader="none" w:pos="960" w:val="left"/>
        </w:tabs>
        <w:numPr>
          <w:ilvl w:val="0"/>
          <w:numId w:val="9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on terms no less favorable to us than those generally being provided to or available from unrelated third parties; or</w:t>
      </w:r>
    </w:p>
    <w:p>
      <w:pPr>
        <w:spacing w:after="0" w:line="169" w:lineRule="exact"/>
        <w:rPr>
          <w:rFonts w:ascii="Arial" w:cs="Arial" w:eastAsia="Arial" w:hAnsi="Arial"/>
          <w:sz w:val="13"/>
          <w:szCs w:val="13"/>
          <w:b w:val="1"/>
          <w:bCs w:val="1"/>
          <w:color w:val="auto"/>
        </w:rPr>
      </w:pPr>
    </w:p>
    <w:p>
      <w:pPr>
        <w:ind w:left="960" w:hanging="481"/>
        <w:spacing w:after="0" w:line="265" w:lineRule="auto"/>
        <w:tabs>
          <w:tab w:leader="none" w:pos="960" w:val="left"/>
        </w:tabs>
        <w:numPr>
          <w:ilvl w:val="0"/>
          <w:numId w:val="9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“fair and reasonable” to us, taking into account the totality of the relationships between the parties involved (including other transactions that may be particularly favorable or advantageous to us).</w:t>
      </w:r>
    </w:p>
    <w:p>
      <w:pPr>
        <w:spacing w:after="0" w:line="3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We may choose not to retain separate counsel for ourselves or for the holders of common shares.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attorneys, independent accountants and others who perform services for us have been retained by our board of directors or our Managers.</w:t>
      </w:r>
    </w:p>
    <w:p>
      <w:pPr>
        <w:spacing w:after="0" w:line="170"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We may retain separate counsel for ourselves or the holders of common shares in the event of a conflict of interest between CGP LLC or our Managers and their respective affiliates, on the one hand, and us or the holders of common shares, on the other hand, depending on the nature of the conflict. We do not intend to do so in most cases.</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Capital Maritime may compete with us.</w:t>
      </w:r>
    </w:p>
    <w:p>
      <w:pPr>
        <w:spacing w:after="0" w:line="172"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In the Articles of Incorporation we renounced, to the fullest extent permitted by law, any interest or expectancy in, or right to be offered an opportunity to participate in, any business opportunity which may be a corporate opportunity for Capital Maritime or any of its affiliates (the “Identified Persons”) and us or our affiliates. We did not renounce our interest in any corporate opportunity (a) offered to any Identified Person if (i) such opportunity is expressly offered to such Identified Person solely in their capacity as a director or officer of ours, (ii) such Identified Person believed that we possessed, or would reasonably be expected to be able to possess, the resources necessary to exploit such opportunity and (iii) we or our subsidiaries are directly engaged in such business at the time such opportunity is offered to such Identified Person or (b) required to be offered to the us pursuant to the Umbrella Agreement.</w:t>
      </w:r>
    </w:p>
    <w:p>
      <w:pPr>
        <w:spacing w:after="0" w:line="133"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Under the omnibus agreement dated September 30, 2011, Capital Maritime agreed and agreed to cause it affiliates to agree, for so long as Capital Maritime controls the Company, not to engage in certain businesses. Except as provided in the omnibus agreement, Capital Maritime and its affiliates are not prohibited from engaging in other businesses or activities, including those that might be in direct competition with us.</w:t>
      </w:r>
    </w:p>
    <w:p>
      <w:pPr>
        <w:spacing w:after="0" w:line="125" w:lineRule="exact"/>
        <w:rPr>
          <w:sz w:val="20"/>
          <w:szCs w:val="20"/>
          <w:color w:val="auto"/>
        </w:rPr>
      </w:pPr>
    </w:p>
    <w:p>
      <w:pPr>
        <w:ind w:left="480" w:right="8940" w:hanging="480"/>
        <w:spacing w:after="0" w:line="512" w:lineRule="auto"/>
        <w:tabs>
          <w:tab w:leader="none" w:pos="480" w:val="left"/>
        </w:tabs>
        <w:numPr>
          <w:ilvl w:val="0"/>
          <w:numId w:val="9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Interests of Experts and Counsel </w:t>
      </w:r>
      <w:r>
        <w:rPr>
          <w:rFonts w:ascii="Times New Roman" w:cs="Times New Roman" w:eastAsia="Times New Roman" w:hAnsi="Times New Roman"/>
          <w:sz w:val="13"/>
          <w:szCs w:val="13"/>
          <w:color w:val="auto"/>
        </w:rPr>
        <w:t>Not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8. Financial Information.</w:t>
      </w:r>
    </w:p>
    <w:p>
      <w:pPr>
        <w:spacing w:after="0" w:line="170" w:lineRule="exact"/>
        <w:rPr>
          <w:sz w:val="20"/>
          <w:szCs w:val="20"/>
          <w:color w:val="auto"/>
        </w:rPr>
      </w:pPr>
    </w:p>
    <w:p>
      <w:pPr>
        <w:ind w:left="480" w:hanging="480"/>
        <w:spacing w:after="0"/>
        <w:tabs>
          <w:tab w:leader="none" w:pos="480" w:val="left"/>
        </w:tabs>
        <w:numPr>
          <w:ilvl w:val="0"/>
          <w:numId w:val="9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Consolidated Statements and Other Financial Information.</w:t>
      </w:r>
    </w:p>
    <w:p>
      <w:pPr>
        <w:spacing w:after="0" w:line="171" w:lineRule="exact"/>
        <w:rPr>
          <w:rFonts w:ascii="Times New Roman" w:cs="Times New Roman" w:eastAsia="Times New Roman" w:hAnsi="Times New Roman"/>
          <w:sz w:val="13"/>
          <w:szCs w:val="13"/>
          <w:b w:val="1"/>
          <w:bCs w:val="1"/>
          <w:color w:val="auto"/>
        </w:rPr>
      </w:pPr>
    </w:p>
    <w:p>
      <w:pPr>
        <w:ind w:left="48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See Item 18 for additional information required to be disclosed under this Item 8.</w:t>
      </w:r>
    </w:p>
    <w:p>
      <w:pPr>
        <w:spacing w:after="0" w:line="167" w:lineRule="exact"/>
        <w:rPr>
          <w:rFonts w:ascii="Times New Roman" w:cs="Times New Roman" w:eastAsia="Times New Roman" w:hAnsi="Times New Roman"/>
          <w:sz w:val="13"/>
          <w:szCs w:val="13"/>
          <w:b w:val="1"/>
          <w:bCs w:val="1"/>
          <w:color w:val="auto"/>
        </w:rPr>
      </w:pPr>
    </w:p>
    <w:p>
      <w:pPr>
        <w:ind w:left="48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Legal Proceedings</w:t>
      </w:r>
    </w:p>
    <w:p>
      <w:pPr>
        <w:spacing w:after="0" w:line="172"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Although we or our subsidiaries may, from time to time, be involved in litigation and claims arising out of our operations in the normal course of business, we are not at present party to any legal proceedings and are not aware of any proceedings against us, or contemplated to be brought against us. We maintain insurance policies with insurers in amounts and with coverage and deductibles as our board of directors believes are reasonable and prudent. We expect that these claims would be covered by insurance, subject to customary deductibles. Those claims, even if lacking merit, could result in the expenditure of significant financial and managerial resources and regardless of the final outcome of any such proceedings could lead to significant reputational damage which could materially affect our business and operations.</w:t>
      </w:r>
    </w:p>
    <w:p>
      <w:pPr>
        <w:spacing w:after="0" w:line="131"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120</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46"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3"/>
          <w:szCs w:val="13"/>
          <w:b w:val="1"/>
          <w:bCs w:val="1"/>
          <w:color w:val="auto"/>
        </w:rPr>
        <w:t>DIVIDENDS</w:t>
      </w:r>
    </w:p>
    <w:p>
      <w:pPr>
        <w:spacing w:after="0" w:line="17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Declaration and payment of any dividend is subject to the discretion of our board of directors. Our dividend policy may be changed at any time, and from time to time, by our board of directors. The timing and amount of dividend payments to holders of our shares will depend on, among other things, shipping market developments and the charter rates we are able to negotiate when we charter our vessels, our cash earnings, financial condition and cash requirements, and could be affected by a variety of factors, including increased or unanticipated expenses, the loss of a vessel, required capital expenditures, reserves that may be established by our board of directors, refinancing or repayment of debt, additional borrowings, compliance with the covenants in our financing arrangements, our anticipated future cost of capital, access to financing and equity and debt capital markets, including for the purposes of refinancing or repaying existing debt, asset valuations, other factors described in our filings with the SEC from time to time and the applicable provisions of Marshall Islands law. The MIBCA generally prohibits the declaration and payment of dividends other than from surplus (but in case there is no surplus, dividends may be declared or paid out of the net profits for the fiscal year in which the dividend is declared and for the preceding fiscal year) or while we are insolvent or if we would be made insolvent upon paying the dividend, or if the declaration or payment would be contrary to any restrictions contained in our Articles of Incorporation. In light of the factors described above and elsewhere in our filings with the SEC, there can be no assurance that we will pay any dividends on our shares.</w:t>
      </w:r>
    </w:p>
    <w:p>
      <w:pPr>
        <w:spacing w:after="0" w:line="132" w:lineRule="exact"/>
        <w:rPr>
          <w:sz w:val="20"/>
          <w:szCs w:val="20"/>
          <w:color w:val="auto"/>
        </w:rPr>
      </w:pPr>
    </w:p>
    <w:p>
      <w:pPr>
        <w:ind w:left="480" w:hanging="480"/>
        <w:spacing w:after="0"/>
        <w:tabs>
          <w:tab w:leader="none" w:pos="480" w:val="left"/>
        </w:tabs>
        <w:numPr>
          <w:ilvl w:val="0"/>
          <w:numId w:val="9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Significant Changes</w:t>
      </w:r>
    </w:p>
    <w:p>
      <w:pPr>
        <w:spacing w:after="0" w:line="172"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Other than as described in “Item 4. Information on the Company—A. History and Development of the Company—Developments in 2025 and up to the filing of this Annual Report” and in Note 18 (Subsequent Events) to our Financial Statements and below, no significant changes have occurred since the date of our Financial Statements.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 The Offer and Listing.</w:t>
      </w:r>
    </w:p>
    <w:p>
      <w:pPr>
        <w:spacing w:after="0" w:line="172"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Our common units started trading on Nasdaq under the symbol “CPLP” on March 30, 2007. Following the Conversion on the Effective Date, common units ceased to trade on Nasdaq and common shares commenced trading on Nasdaq under the name “Capital Clean Energy Carriers Corp.” with the ticker symbol “CCEC”.</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10.Additional Information.</w:t>
      </w:r>
    </w:p>
    <w:p>
      <w:pPr>
        <w:spacing w:after="0" w:line="170" w:lineRule="exact"/>
        <w:rPr>
          <w:sz w:val="20"/>
          <w:szCs w:val="20"/>
          <w:color w:val="auto"/>
        </w:rPr>
      </w:pPr>
    </w:p>
    <w:p>
      <w:pPr>
        <w:jc w:val="both"/>
        <w:ind w:left="480" w:right="9980" w:hanging="480"/>
        <w:spacing w:after="0" w:line="512" w:lineRule="auto"/>
        <w:tabs>
          <w:tab w:leader="none" w:pos="480" w:val="left"/>
        </w:tabs>
        <w:numPr>
          <w:ilvl w:val="0"/>
          <w:numId w:val="10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Share Capital </w:t>
      </w:r>
      <w:r>
        <w:rPr>
          <w:rFonts w:ascii="Times New Roman" w:cs="Times New Roman" w:eastAsia="Times New Roman" w:hAnsi="Times New Roman"/>
          <w:sz w:val="13"/>
          <w:szCs w:val="13"/>
          <w:color w:val="auto"/>
        </w:rPr>
        <w:t>Not applicable.</w:t>
      </w:r>
    </w:p>
    <w:p>
      <w:pPr>
        <w:ind w:left="480" w:hanging="480"/>
        <w:spacing w:after="0"/>
        <w:tabs>
          <w:tab w:leader="none" w:pos="480" w:val="left"/>
        </w:tabs>
        <w:numPr>
          <w:ilvl w:val="0"/>
          <w:numId w:val="10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Memorandum and Articles of Association</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We were originally formed on January 16, 2007 as a limited partnership named “Capital Product Partners L.P.” under the laws of the Marshall Islands. On the Effective Date, we converted into a corporation named “Capital Clean Energy Carriers Corp.” organized under the laws of the Marshall Islands and have perpetual existence.</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Our purpose under our Articles of Incorporation is to engage in any lawful act or activity for which corporations may be organized under the MIBCA.</w:t>
      </w:r>
    </w:p>
    <w:p>
      <w:pPr>
        <w:spacing w:after="0" w:line="170"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Please refer to Exhibit 2.1 (Description of Securities registered under Section 12 of the Exchange Act) to this Annual Report for a summary of the material provisions of our Articles of Incorporation. Our Articles of Incorporation is filed as Exhibit 99.2 to our Report on Form 6-K dated August 26, 2024. We will provide prospective investors with a copy of our Articles of Incorporation and any amendments thereto upon request at no charge.</w:t>
      </w:r>
    </w:p>
    <w:p>
      <w:pPr>
        <w:spacing w:after="0" w:line="125" w:lineRule="exact"/>
        <w:rPr>
          <w:sz w:val="20"/>
          <w:szCs w:val="20"/>
          <w:color w:val="auto"/>
        </w:rPr>
      </w:pPr>
    </w:p>
    <w:p>
      <w:pPr>
        <w:ind w:left="480" w:hanging="480"/>
        <w:spacing w:after="0"/>
        <w:tabs>
          <w:tab w:leader="none" w:pos="480" w:val="left"/>
        </w:tabs>
        <w:numPr>
          <w:ilvl w:val="0"/>
          <w:numId w:val="10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Material Contracts</w:t>
      </w:r>
    </w:p>
    <w:p>
      <w:pPr>
        <w:spacing w:after="0" w:line="172"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For a discussion of material contracts, other than contracts entered into in the ordinary course of business, to which we or any of our subsidiaries are a party, for the two years immediately preceding the date of this Annual Report please see “Item 4. Information on the Company—A. History and Development of the Company” and “Item 5.</w:t>
      </w:r>
    </w:p>
    <w:p>
      <w:pPr>
        <w:spacing w:after="0" w:line="114"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121</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122" w:name="page123"/>
    <w:bookmarkEnd w:id="122"/>
    <w:p>
      <w:pPr>
        <w:ind w:firstLine="479"/>
        <w:spacing w:after="0" w:line="293" w:lineRule="auto"/>
        <w:rPr>
          <w:sz w:val="20"/>
          <w:szCs w:val="20"/>
          <w:color w:val="auto"/>
        </w:rPr>
      </w:pPr>
      <w:r>
        <w:rPr>
          <w:rFonts w:ascii="Times New Roman" w:cs="Times New Roman" w:eastAsia="Times New Roman" w:hAnsi="Times New Roman"/>
          <w:sz w:val="13"/>
          <w:szCs w:val="13"/>
          <w:color w:val="auto"/>
        </w:rPr>
        <w:t>Operating and Financial Review and Prospects—B. Liquidity and Capital Resources—Borrowings (Financing Arrangements).” Please also refer to “Item 7. Major Shareholders and Related Party Transactions—B. Related-Party Transactions” for further detail on the transactions entered into with related parties.</w:t>
      </w:r>
    </w:p>
    <w:p>
      <w:pPr>
        <w:spacing w:after="0" w:line="112" w:lineRule="exact"/>
        <w:rPr>
          <w:sz w:val="20"/>
          <w:szCs w:val="20"/>
          <w:color w:val="auto"/>
        </w:rPr>
      </w:pPr>
    </w:p>
    <w:p>
      <w:pPr>
        <w:ind w:left="480" w:hanging="480"/>
        <w:spacing w:after="0"/>
        <w:tabs>
          <w:tab w:leader="none" w:pos="480" w:val="left"/>
        </w:tabs>
        <w:numPr>
          <w:ilvl w:val="0"/>
          <w:numId w:val="10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Exchange Controls</w:t>
      </w:r>
    </w:p>
    <w:p>
      <w:pPr>
        <w:spacing w:after="0" w:line="172"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We are not aware of any governmental laws, decrees or regulations, including foreign exchange controls, in the Republic of the Marshall Islands that restrict the export or import of capital, or that affect the remittance of dividends, interest or other payments to persons that are both to non-resident and non-citizen holders of our securities.</w:t>
      </w:r>
    </w:p>
    <w:p>
      <w:pPr>
        <w:spacing w:after="0" w:line="112" w:lineRule="exact"/>
        <w:rPr>
          <w:sz w:val="20"/>
          <w:szCs w:val="20"/>
          <w:color w:val="auto"/>
        </w:rPr>
      </w:pPr>
    </w:p>
    <w:p>
      <w:pPr>
        <w:ind w:left="480" w:hanging="480"/>
        <w:spacing w:after="0"/>
        <w:tabs>
          <w:tab w:leader="none" w:pos="480" w:val="left"/>
        </w:tabs>
        <w:numPr>
          <w:ilvl w:val="0"/>
          <w:numId w:val="10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Taxation</w:t>
      </w:r>
    </w:p>
    <w:p>
      <w:pPr>
        <w:spacing w:after="0" w:line="169" w:lineRule="exact"/>
        <w:rPr>
          <w:rFonts w:ascii="Times New Roman" w:cs="Times New Roman" w:eastAsia="Times New Roman" w:hAnsi="Times New Roman"/>
          <w:sz w:val="13"/>
          <w:szCs w:val="13"/>
          <w:b w:val="1"/>
          <w:bCs w:val="1"/>
          <w:color w:val="auto"/>
        </w:rPr>
      </w:pPr>
    </w:p>
    <w:p>
      <w:pPr>
        <w:ind w:left="48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Marshall Islands Taxation relating to Shareholders</w:t>
      </w:r>
    </w:p>
    <w:p>
      <w:pPr>
        <w:spacing w:after="0" w:line="172"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The following is a discussion of the material Marshall Islands tax consequences of our activities to shareholders who are not citizens of and do not reside in, maintain offices in or carry on business or conduct transactions or operations in the Marshall Islands (“non-citizen/resident holders”). Because we, our subsidiaries and our controlled affiliates do not, and assuming that we and our subsidiaries and controlled affiliates will not, carry on business or conduct transactions or operations in the Marshall Islands, under current Marshall Islands law non-citizen/resident holders of our securities will not be subject to Marshall Islands taxation or withholding on dividends we make to such non-citizen/resident holders. In addition, non-citizen/resident holders will not be subject to Marshall Islands stamp, capital gains or other taxes on the purchase, ownership or disposition of our securities, and will not be required by the Republic of the Marshall Islands to file a tax return relating to such securities.</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Marshall Islands Taxation of the Company</w:t>
      </w:r>
    </w:p>
    <w:p>
      <w:pPr>
        <w:spacing w:after="0" w:line="172" w:lineRule="exact"/>
        <w:rPr>
          <w:sz w:val="20"/>
          <w:szCs w:val="20"/>
          <w:color w:val="auto"/>
        </w:rPr>
      </w:pPr>
    </w:p>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Because we, our subsidiaries and our controlled affiliates do not, and we and our subsidiaries will not (and assuming we, our subsidiaries and our controlled affiliates will not) carry on business or conduct transactions or operations in the Marshall Islands, under current Marshall Islands law neither we, our subsidiaries nor our controlled affiliates will be subject to Marshall Islands income, capital gains, profits or other taxation, other than taxes or fees due to (i) the continued existence of legal entities registered in the Republic of the Marshall Islands, (ii) the incorporation or dissolution of legal entities registered in the Republic of the Marshall Islands, (iii) filing certificates (such as certificates of incumbency, merger, or redomiciliation) with the Marshall Islands registrar, (iv) obtaining certificates of good standing from, or certified copies of documents filed with, the Marshall Islands registrar, (v) compliance, or penalties for noncompliance, with Marshall Islands law concerning books and records and economic substance regulations and (vi) vessel ownership, such as tonnage tax. As a result, distributions by our subsidiaries and our controlled affiliates to us will not be subject to Marshall Islands taxation.</w:t>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Material U.S. Federal Income Tax Considerations</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The following is a discussion of the material U.S. federal income tax considerations that may be relevant to current and prospective common shareholders. This discussion is based upon provisions of the Code, U.S. Treasury Regulations, and current administrative rulings and court decisions, all as currently in effect or existence on the date of this Annual Report and all of which are subject to change, possibly with retroactive effect. Changes in these authorities may cause the tax consequences to vary substantially from the consequences described below.</w:t>
      </w:r>
    </w:p>
    <w:p>
      <w:pPr>
        <w:spacing w:after="0" w:line="127"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The following discussion applies only to beneficial owners of our common shares that own such shares as “capital assets” (generally, for investment purposes) and does not comment on all aspects of U.S. federal income taxation which may be important to particular common shareholders in light of their individual circumstances, such as shareholders subject to special tax rules (e.g., financial institutions, insurance companies, broker-dealers, tax-exempt organizations, or former citizens or long-term residents of the United States), persons that will hold the common shares as part of a straddle, hedge, conversion, constructive sale, wash sale or other integrated transaction for U.S. federal income tax purposes, persons that own (actually or constructively) 10.0% or more of the total value of all classes of our shares or of the total combined voting power of all classes of our shares entitled to vote, or U.S. Holders (as defined below) that have a functional currency other than the U.S. dollar, all of whom may be subject to tax rules that differ significantly from those summarized below. If a partnership or other entity classified as a partnership for U.S. federal income tax purposes holds our common shares, the tax treatment of a partner thereof will generally depend upon the status of the partner and upon the tax treatment of the partnership. If you are a partner in a partnership holding our common shares, you should consult your tax advisor.</w:t>
      </w:r>
    </w:p>
    <w:p>
      <w:pPr>
        <w:spacing w:after="0" w:line="135"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122</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85" w:right="319" w:bottom="1440" w:gutter="0" w:footer="0" w:header="0"/>
        </w:sectPr>
      </w:pPr>
    </w:p>
    <w:bookmarkStart w:id="123" w:name="page124"/>
    <w:bookmarkEnd w:id="123"/>
    <w:p>
      <w:pPr>
        <w:ind w:left="480"/>
        <w:spacing w:after="0"/>
        <w:rPr>
          <w:sz w:val="20"/>
          <w:szCs w:val="20"/>
          <w:color w:val="auto"/>
        </w:rPr>
      </w:pPr>
      <w:r>
        <w:rPr>
          <w:rFonts w:ascii="Times New Roman" w:cs="Times New Roman" w:eastAsia="Times New Roman" w:hAnsi="Times New Roman"/>
          <w:sz w:val="13"/>
          <w:szCs w:val="13"/>
          <w:color w:val="auto"/>
        </w:rPr>
        <w:t>No ruling has been or will be requested from the IRS regarding any matter affecting us or our common shareholders. The statements made here may not be sustained by a court if contested by the IRS.</w:t>
      </w:r>
    </w:p>
    <w:p>
      <w:pPr>
        <w:spacing w:after="0" w:line="170"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This discussion does not contain information regarding any U.S. state or local, estate or alternative minimum tax considerations concerning the ownership or disposition of our common shares. Each common shareholder is urged to consult its tax advisor regarding the U.S. federal, state, local and other tax consequences of the ownership or disposition of our common shares.</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Taxation of Operating Income</w:t>
      </w:r>
    </w:p>
    <w:p>
      <w:pPr>
        <w:spacing w:after="0" w:line="172"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We expect that substantially all of our gross income will be attributable to the transportation of LNG, LPG and containerized goods. If we complete the gradual divestment of our container vessels that we announced on November 13, 2023, we expect that substantially all of our gross income would be attributable to the transportation of LNG and LPG. For this purpose, gross income attributable to transportation (or “Transportation Income”) includes income derived from, or in connection with, the use (or hiring or leasing for use) of a vessel to transport cargo, or the performance of services directly related to the use of any vessel to transport cargo, and thus includes spot charter, time charter and bareboat charter income.</w:t>
      </w:r>
    </w:p>
    <w:p>
      <w:pPr>
        <w:spacing w:after="0" w:line="131"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Transportation Income that is attributable to transportation that begins or ends, but that does not both begin and end, in the United States (or “U.S. Source International Transportation Income”) will be considered to be 50% derived from sources within the United States. Transportation Income attributable to transportation that both begins and ends in the United States (or “U.S. Source Domestic Transportation Income”) will be considered to be 100% derived from sources within the United States. Transportation Income attributable to transportation exclusively between non-U.S. destinations will be considered to be 100% derived from sources outside the United States. Transportation Income derived from sources outside the United States generally will not be subject to U.S. federal income tax.</w:t>
      </w:r>
    </w:p>
    <w:p>
      <w:pPr>
        <w:spacing w:after="0" w:line="131" w:lineRule="exact"/>
        <w:rPr>
          <w:sz w:val="20"/>
          <w:szCs w:val="20"/>
          <w:color w:val="auto"/>
        </w:rPr>
      </w:pPr>
    </w:p>
    <w:p>
      <w:pPr>
        <w:jc w:val="both"/>
        <w:ind w:firstLine="479"/>
        <w:spacing w:after="0" w:line="272" w:lineRule="auto"/>
        <w:rPr>
          <w:sz w:val="20"/>
          <w:szCs w:val="20"/>
          <w:color w:val="auto"/>
        </w:rPr>
      </w:pPr>
      <w:r>
        <w:rPr>
          <w:rFonts w:ascii="Times New Roman" w:cs="Times New Roman" w:eastAsia="Times New Roman" w:hAnsi="Times New Roman"/>
          <w:sz w:val="13"/>
          <w:szCs w:val="13"/>
          <w:color w:val="auto"/>
        </w:rPr>
        <w:t>Based on our current operations, we do not expect to have U.S. Source Domestic Transportation Income. However, certain of our activities give rise to U.S. Source International Transportation Income, and future expansion of our operations could result in an increase in the amount of U.S. Source International Transportation Income, as well as give rise to U.S. Source Domestic Transportation Income. U.S. Source International Transportation Income could be subject to U.S. federal income taxation unless exempt from U.S. taxation under Section 883 of the Code (or the “Section 883 Exemption”), as discussed below.</w:t>
      </w:r>
    </w:p>
    <w:p>
      <w:pPr>
        <w:spacing w:after="0" w:line="2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The Section 883 Exemption</w:t>
      </w:r>
    </w:p>
    <w:p>
      <w:pPr>
        <w:spacing w:after="0" w:line="172"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In general, the Section 883 Exemption provides that if a non-U.S. corporation satisfies the requirements of Section 883 of the Code and the Treasury Regulations thereunder (the “Section 883 Regulations”), it will not be subject to the net basis and branch profits taxes, or to the 4% gross basis tax described below, on its U.S. Source International Transportation Income. As discussed below, we believe that under our current ownership structure, the Section 883 Exemption will apply and that, accordingly, we will not be subject to the taxes set forth above on our U.S. Source International Transportation Income. The Section 883 Exemption does not apply to U.S. Source Domestic Transportation Income (which is subject to U.S. federal income taxation irrespective of whether Section 883 applies).</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We will qualify for the Section 883 Exemption if, among other matters, we meet the following three requirements:</w:t>
      </w:r>
    </w:p>
    <w:p>
      <w:pPr>
        <w:spacing w:after="0" w:line="170" w:lineRule="exact"/>
        <w:rPr>
          <w:sz w:val="20"/>
          <w:szCs w:val="20"/>
          <w:color w:val="auto"/>
        </w:rPr>
      </w:pPr>
    </w:p>
    <w:p>
      <w:pPr>
        <w:ind w:left="960" w:hanging="481"/>
        <w:spacing w:after="0"/>
        <w:tabs>
          <w:tab w:leader="none" w:pos="960" w:val="left"/>
        </w:tabs>
        <w:numPr>
          <w:ilvl w:val="0"/>
          <w:numId w:val="104"/>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We are organized in a jurisdiction outside the United States that grants an equivalent exemption from tax to corporations organized in the United States (an “Equivalent Exemption”);</w:t>
      </w:r>
    </w:p>
    <w:p>
      <w:pPr>
        <w:spacing w:after="0" w:line="169"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123</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124" w:name="page125"/>
    <w:bookmarkEnd w:id="124"/>
    <w:p>
      <w:pPr>
        <w:ind w:left="960" w:hanging="481"/>
        <w:spacing w:after="0"/>
        <w:tabs>
          <w:tab w:leader="none" w:pos="960" w:val="left"/>
        </w:tabs>
        <w:numPr>
          <w:ilvl w:val="0"/>
          <w:numId w:val="10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We satisfy the “Publicly Traded Test” (as described below); and</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05"/>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We meet certain substantiation, reporting and other requirements.</w:t>
      </w:r>
    </w:p>
    <w:p>
      <w:pPr>
        <w:spacing w:after="0" w:line="169"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The Publicly Traded Test requires that the stock of a non-U.S. corporation be “primarily and regularly traded” on an established securities market either in the United States or in a jurisdiction outside the United States that grants an Equivalent Exemption. The Section 883 Regulations provide, in pertinent part, that stock in a non-U.S. corporation will be considered to be “primarily traded” on an established securities market in a given country if the number of shares of each class of stock relied upon to meet the “regularly traded” test that are traded during the taxable year on all established securities markets in that country exceeds the number of shares in each such class that are traded during that year on established securities markets in any other single country. Stock of a non-U.S. corporation will be considered to be “regularly traded” on an established securities market under the Section 883 Regulations if one or more classes of stock of the corporation that, in the aggregate, represent more than 50% of the total combined voting power and value of the non-U.S. corporation are listed on such market during the taxable year and certain trading volume requirements are met or deemed met as described below. For this purpose, if one or more “5% Shareholders” (i.e., a shareholder holding, actually or constructively, at least 5% of the vote and value of a class of stock, for purposes of which multiple related persons may be treated as one shareholder) own in the aggregate 50% or more of the vote and value of the class of stock (the “Closely Held Block”) for more than half the number of days during the taxable year, such class of stock will not be counted towards meeting the “regularly traded” test (the “Closely Held Block Exception”), subject to an exception discussed further below.</w:t>
      </w:r>
    </w:p>
    <w:p>
      <w:pPr>
        <w:spacing w:after="0" w:line="134" w:lineRule="exact"/>
        <w:rPr>
          <w:sz w:val="20"/>
          <w:szCs w:val="20"/>
          <w:color w:val="auto"/>
        </w:rPr>
      </w:pPr>
    </w:p>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We are organized under the laws of the Republic of the Marshall Islands. The U.S. Treasury Department has recognized the Republic of the Marshall Islands as a jurisdiction that grants an Equivalent Exemption. Consequently, our U.S. Source International Transportation Income (including, for this purpose, (i) our distributive share of any such income earned by our subsidiaries that have properly elected to be treated as partnerships or disregarded as entities separate from us for U.S. federal income tax purposes and (ii) any such income earned by our subsidiaries that are corporations for U.S. federal income tax purposes, are organized in a non-U.S. jurisdiction that grants an Equivalent Exemption and whose outstanding stock is owned more than 50% by value by us (and which themselves comply with certain substantiation, reporting and other requirements)) will be exempt from U.S. federal income taxation provided we meet the Publicly Traded Test (and provided we meet certain substantiation, reporting and other requirements). In addition, since our common shares are only traded on Nasdaq, which is considered to be an established securities market, our shares will be deemed to be “primarily traded” on an established securities market.</w:t>
      </w:r>
    </w:p>
    <w:p>
      <w:pPr>
        <w:spacing w:after="0" w:line="295"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We believe we meet the trading volume requirements of the “regularly traded” test, because the pertinent regulations provide that such trading volume requirements will be deemed to be met with respect to a class of stock traded on an established securities market in the United States where, as will be the case for our common shares, the shares are regularly quoted by dealers who regularly and actively make offers, purchases and sales of such shares to unrelated persons in the ordinary course of business. Additionally, and in the alternative, the pertinent regulations also provide that a class of stock will be considered to meet the trading volume requirements if (i) such class of stock is listed on the relevant market, (ii) such class of stock is traded on such market, other than in minimal quantities, on at least 60 days during the taxable year or one-sixth of the days in a short taxable year, and (iii) the aggregate number of shares of such class of stock traded on such market during the taxable year is at least 10% of the average number of shares of such class of stock outstanding during such year, or as appropriately adjusted in the case of a short taxable year. We believe that trading of our common shares (previously, common units) has satisfied these conditions in the past (when traded as common units), and we expect that such conditions will continue to be satisfied. Finally, we believe that our common shares represent more than 50% of our total combined voting power and value and accordingly we believe that our shares should be considered to be “regularly traded” on an established securities market.</w:t>
      </w:r>
    </w:p>
    <w:p>
      <w:pPr>
        <w:spacing w:after="0" w:line="137"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We currently expect that we will not lose eligibility for the Section 883 Exemption as a result of the Closely Held Block Exception, because we currently expect to qualify for an exception to the application of the Closely Held Block Exception. As relevant here, this exception is available when shareholders residing in a non-U.S. jurisdiction granting an Equivalent Exemption and meeting certain other requirements own sufficient shares in the Closely Held Block to preclude other shareholders of the Closely Held Block who do not meet such requirements from owning 50% or more of the total value of the outstanding class of stock of which the Closely Held Block is a part, for more than half the number of days during the taxable year.</w:t>
      </w:r>
    </w:p>
    <w:p>
      <w:pPr>
        <w:spacing w:after="0" w:line="131"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124</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46" w:right="319" w:bottom="1440" w:gutter="0" w:footer="0" w:header="0"/>
        </w:sectPr>
      </w:pPr>
    </w:p>
    <w:bookmarkStart w:id="125" w:name="page126"/>
    <w:bookmarkEnd w:id="125"/>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Thus, although the matter is not free from doubt, we currently believe that we will satisfy the Publicly Traded Test, and that we will qualify for the Section 883 Exemption. Should any of the facts described above cease to be correct, including for reasons that may be beyond our control, our ability to qualify for the Section 883 Exemption will be compromised.</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Taxation of Operating Income in the Absence of the Section 883 Exemption</w:t>
      </w:r>
    </w:p>
    <w:p>
      <w:pPr>
        <w:spacing w:after="0" w:line="17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If we earn U.S. Source International Transportation Income and the Section 883 Exemption does not apply, the U.S. source portion of such income may be treated as effectively connected with the conduct of a trade or business in the United States (or “Effectively Connected Income”) if we have a fixed place of business in the United States involved in the earning of such income and substantially all of such income is attributable to regularly scheduled transportation or, in the case of bareboat charter income, is attributable to a fixed place of business in the United States. Based on our current operations, we believe that we have no fixed place of business in the United States involved in the earning of such income, and none of our potential U.S. Source International Transportation Income is attributable to regularly scheduled transportation or is received pursuant to bareboat charters attributable to a fixed place of business in the United States. As a result, we do not anticipate that any of our U.S. Source International Transportation Income will be treated as Effectively Connected Income. However, there is no assurance that we will not have a fixed place of business in the United States involved in the earning of such income in the future, and that we will not earn income pursuant to regularly scheduled transportation or bareboat charters attributable to a fixed place of business in the United States in the future, which could result in such income being treated as Effectively Connected Income.</w:t>
      </w:r>
    </w:p>
    <w:p>
      <w:pPr>
        <w:spacing w:after="0" w:line="137"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Any income we earn that is treated as Effectively Connected Income would be subject to U.S. federal corporate income tax on a net income basis. In addition, a 30% branch profits tax imposed under Section 884 of the Code also could apply to such income, and a branch interest tax could be imposed on certain interest paid or deemed paid by us.</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Taxation of Gain on the Sale of a Vessel in the Absence of the Section 883 Exemption</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Our ability to qualify for the Section 883 Exemption is generally not expected to affect the tax treatment of our sales of vessels outside of the United States, provided that we continue to maintain no office or place of business in the United States involved in such sales.</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The 4% Gross Basis Tax</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If the Section 883 Exemption does not apply and the net income tax does not apply, we would be subject to a 4% U.S. federal income tax on the U.S. source portion of our U.S. Source International Transportation Income, without the benefit of deductions.</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U.S. Federal Income Taxation of U.S. Holders</w:t>
      </w:r>
    </w:p>
    <w:p>
      <w:pPr>
        <w:spacing w:after="0" w:line="172"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As used herein, the term U.S. Holder means a beneficial owner of our common shares that is an individual U.S. citizen or resident (as determined for U.S. federal income tax purposes), a corporation (or other entity treated as a corporation for United States federal income tax purposes) created or organized in or under the laws of the United States, any U.S. state or the District of Columbia, an estate the income of which is subject to U.S. federal income taxation regardless of its source, or a trust which either (i) is subject to the primary supervision of a court within the United States and one or more U.S. persons have the authority to control all substantial decisions of the trust or (ii) has a valid election in effect under applicable U.S. Treasury Regulations to be treated as a U.S. person.</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Distributions</w:t>
      </w:r>
    </w:p>
    <w:p>
      <w:pPr>
        <w:spacing w:after="0" w:line="172"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Subject to the discussion of the rules applicable to PFICs below, any distributions made by us with respect to our common shares to a U.S. Holder generally will constitute dividends, which may be taxable as ordinary income or “qualified dividend income” as described in more detail below, to the extent of our current and accumulated earnings and profits, as determined under U.S. federal income tax principles. Distributions in excess of our earnings and profits will be treated first as a nontaxable return of capital to the extent of the U.S. Holder’s tax basis in its common shares on a dollar-for-dollar basis and thereafter as capital gain. U.S. Holders that are corporations generally will not be entitled to claim a dividends-received deduction with respect to any distributions they receive from us.</w:t>
      </w:r>
    </w:p>
    <w:p>
      <w:pPr>
        <w:spacing w:after="0" w:line="131"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125</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126" w:name="page127"/>
    <w:bookmarkEnd w:id="126"/>
    <w:p>
      <w:pPr>
        <w:ind w:left="480"/>
        <w:spacing w:after="0"/>
        <w:rPr>
          <w:sz w:val="20"/>
          <w:szCs w:val="20"/>
          <w:color w:val="auto"/>
        </w:rPr>
      </w:pPr>
      <w:r>
        <w:rPr>
          <w:rFonts w:ascii="Times New Roman" w:cs="Times New Roman" w:eastAsia="Times New Roman" w:hAnsi="Times New Roman"/>
          <w:sz w:val="13"/>
          <w:szCs w:val="13"/>
          <w:color w:val="auto"/>
        </w:rPr>
        <w:t>Dividends paid with respect to our common shares generally will be treated as “passive” income from sources outside the United States for purposes of computing allowable foreign tax credits for 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federal income tax purposes.</w:t>
      </w:r>
    </w:p>
    <w:p>
      <w:pPr>
        <w:spacing w:after="0" w:line="157"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Dividends paid on our common shares to a U.S. Holder who is an individual, trust or estate (in all cases, a “U.S. Individual Holder”) will be treated as qualified dividend income that is taxable to such U.S. Individual Holder at preferential rates applicable to long-term capital gain provided that: (i) our common shares are readily tradable on an established securities market in the United States (such as Nasdaq, on which our common shares are traded); (ii) we are not a PFIC (which we do not believe we are, have been or will be, as discussed below); (iii) the U.S. Individual Holder has owned the common shares for more than 60 days in the 121-day period beginning 60 days before the date on which the common shares become ex-dividend (and has not entered into certain risk limiting transactions with respect to such shares) and (iv) the U.S. Individual Holder is not under an obligation to make related payments with respect to positions in substantially similar or related property. There is no assurance that any dividends paid on our common shares will be eligible for these preferential rates in the hands of a U.S. Individual Holder, and any dividends paid on our common shares that are not eligible for these preferential rates will be taxed as ordinary income to a U.S. Individual Holder.</w:t>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Sale, Exchange or other Disposition of Common Shares</w:t>
      </w:r>
    </w:p>
    <w:p>
      <w:pPr>
        <w:spacing w:after="0" w:line="172"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Subject to the discussion of PFICs below, a U.S. Holder generally will recognize taxable gain or loss upon a sale, exchange or other disposition of our common shares in an amount equal to the difference between the amount realized by the U.S. Holder from such sale, exchange or other disposition and the U.S. Holder’s tax basis in such shares. Such gain or loss will be treated as long-term capital gain or loss if the U.S. Holder’s holding period is greater than one-year at the time of the sale, exchange or other disposition. Such capital gain or loss will generally be treated as U.S. source income or loss, as applicable, for U.S. foreign tax credit purposes. A U.S. Holder’s ability to deduct capital losses is subject to certain limitations. Long-term capital gain of a U.S. Individual Holder is generally subject to tax at preferential rates.</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PFIC Status and Significant Tax Consequences</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Special and adverse U.S. federal income tax rules apply to a U.S. Holder that owns an equity interest in a non-U.S. entity taxed as a corporation and classified as a PFIC for U.S. federal income tax purposes. In general, we will be treated as a PFIC with respect to a U.S. Holder if, for any taxable year in which such holder held our common shares, either:</w:t>
      </w:r>
    </w:p>
    <w:p>
      <w:pPr>
        <w:spacing w:after="0" w:line="114" w:lineRule="exact"/>
        <w:rPr>
          <w:sz w:val="20"/>
          <w:szCs w:val="20"/>
          <w:color w:val="auto"/>
        </w:rPr>
      </w:pPr>
    </w:p>
    <w:p>
      <w:pPr>
        <w:ind w:left="960" w:hanging="481"/>
        <w:spacing w:after="0" w:line="292" w:lineRule="auto"/>
        <w:tabs>
          <w:tab w:leader="none" w:pos="960" w:val="left"/>
        </w:tabs>
        <w:numPr>
          <w:ilvl w:val="0"/>
          <w:numId w:val="10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at least 75% of our gross income (including the gross income of our vessel-owning subsidiaries) for such taxable year consists of passive income (e.g., dividends, interest, capital gains and rents derived other than in the active conduct of a rental business); or</w:t>
      </w:r>
    </w:p>
    <w:p>
      <w:pPr>
        <w:spacing w:after="0" w:line="114" w:lineRule="exact"/>
        <w:rPr>
          <w:rFonts w:ascii="Arial" w:cs="Arial" w:eastAsia="Arial" w:hAnsi="Arial"/>
          <w:sz w:val="13"/>
          <w:szCs w:val="13"/>
          <w:b w:val="1"/>
          <w:bCs w:val="1"/>
          <w:color w:val="auto"/>
        </w:rPr>
      </w:pPr>
    </w:p>
    <w:p>
      <w:pPr>
        <w:ind w:left="960" w:hanging="481"/>
        <w:spacing w:after="0" w:line="265" w:lineRule="auto"/>
        <w:tabs>
          <w:tab w:leader="none" w:pos="960" w:val="left"/>
        </w:tabs>
        <w:numPr>
          <w:ilvl w:val="0"/>
          <w:numId w:val="10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at least 50% of the average value of the assets held by us (including the assets of our vessel-owning subsidiaries) during such taxable year produce, or are held for the production of, passive income.</w:t>
      </w:r>
    </w:p>
    <w:p>
      <w:pPr>
        <w:spacing w:after="0" w:line="313" w:lineRule="exact"/>
        <w:rPr>
          <w:sz w:val="20"/>
          <w:szCs w:val="20"/>
          <w:color w:val="auto"/>
        </w:rPr>
      </w:pPr>
    </w:p>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Income earned, or deemed earned, by us in connection with the performance of services would not constitute passive income. By contrast, rental income would generally constitute “passive income” unless we were treated under specific rules as deriving our rental income in the active conduct of a trade or business. Based on our current and projected methods of operation, we believe that we were not a PFIC for the year ended on December 31. 2025, nor do we expect to become a PFIC. Although there is no legal authority directly on point, and we are not obtaining a ruling from the IRS on this issue, we will take the position that, for purposes of determining whether we are a PFIC, the gross income we derive or are deemed to derive from the time and spot chartering activities of our wholly owned subsidiaries constitutes services income, rather than rental income. Correspondingly, such income should not constitute passive income, and the assets that we or our wholly owned subsidiaries own and operate in connection with the production of such income, in particular, the vessels we or our subsidiaries own that are subject to time charters, should not constitute passive assets for purposes of determining whether we are or were a PFIC.</w:t>
      </w:r>
    </w:p>
    <w:p>
      <w:pPr>
        <w:spacing w:after="0" w:line="135"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126</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127" w:name="page128"/>
    <w:bookmarkEnd w:id="127"/>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As noted above, there is, however, no direct legal authority under the PFIC rules addressing our method of operation. Moreover, in a case not specifically interpreting the PFIC rules, Tidewater Inc. v. United States, 565 F.3d 299 (5th Cir. 2009), the Fifth Circuit held that the vessel time charters at issue generated predominantly rental income rather than services income. However, the court’s ruling was contrary to the position of the IRS that the time charter income should have been treated as services income. Additionally, the IRS later affirmed its position in Tidewater, adding further that the time charters at issue would be treated as giving rise to services income under the PFIC rules.</w:t>
      </w:r>
    </w:p>
    <w:p>
      <w:pPr>
        <w:spacing w:after="0" w:line="131"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No assurance, however, can be given that the IRS or a court of law will accept our position, and there is a risk that the IRS or a court of law could determine we are or were a PFIC. In addition, although we intend to conduct our affairs in a manner to avoid, to the extent possible, being classified as a PFIC with respect to any taxable year, we cannot assure U.S. Holders that the nature of our operations will not change in the future, or that we can avoid PFIC status in the future.</w:t>
      </w:r>
    </w:p>
    <w:p>
      <w:pPr>
        <w:spacing w:after="0" w:line="127"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As discussed more fully below, if we were to be treated as a PFIC for any taxable year, a U.S. Holder would be subject to different taxation rules depending on whether the U.S. Holder makes an election to treat us as a Qualified Electing Fund (a “QEF election”). As an alternative to making a QEF election, a U.S. Holder should be able to make a “mark-to-market” election with respect to our common shares, as discussed below. In addition, if a U.S. Holder owns our common shares during any taxable year that we are a PFIC, such shares owned by such holder will generally be treated as shares in a PFIC even if we are not a PFIC in a subsequent year and, if the total value of all PFIC stock that such holder directly or indirectly owns exceeds certain thresholds, such holder must file IRS Form 8621 with the holder’s U.S. federal income tax return to report the holder’s ownership of our common shares.</w:t>
      </w:r>
    </w:p>
    <w:p>
      <w:pPr>
        <w:spacing w:after="0" w:line="133"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If we are a PFIC and, at any time, have a non-U.S. subsidiary that is classified as a PFIC, a U.S. Holder generally would be deemed to own a portion of the shares of such lower-tier PFIC, and, unless it makes a timely QEF election with respect to such subsidiary, generally could incur liability for the deferred tax and interest charge described below if we (or our subsidiary) receive a distribution from, or dispose of all or part of our interest in, the lower-tier PFIC or if the U.S. Holder otherwise were deemed to have disposed of an interest in the lower-tier PFIC. The mark-to-market election described below would not apply to the U.S. Holder’s indirect interest in any such lower tier PFICs.</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Taxation of U.S. Holders Making a Timely QEF Election</w:t>
      </w:r>
    </w:p>
    <w:p>
      <w:pPr>
        <w:spacing w:after="0" w:line="17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If a U.S. Holder makes a timely QEF election (such U.S. Holder, an “Electing Holder”), the Electing Holder must report each year for U.S. federal income tax purposes his pro rata share of our ordinary earnings and our net capital gain, if any, for our taxable year that ends with or within the taxable year of the Electing Holder, regardless of whether or not distributions were received from us by the Electing Holder. The Electing Holder’s adjusted tax basis in the common shares will be increased to reflect taxed but undistributed income. Distributions of earnings and profits that had been previously taxed will result in a corresponding reduction in the adjusted tax basis in the common shares and will not be taxed again once distributed. An Electing Holder would generally recognize capital gain or loss on the sale, exchange or other disposition of our common shares. A U.S. Holder would make a QEF election with respect to any year that we are a PFIC by properly completing and filing IRS Form 8621 with its U.S. federal income tax return. If we are a PFIC and in turn have subsidiaries that are PFICs, a U.S. Holder would have to make a separate QEF election with respect to each such subsidiary PFIC to avoid being subject to the deferred tax interest charges described below in respect of such subsidiary PFICs. If contrary to our expectations, we determine that we are treated as a PFIC for any taxable year, we will attempt to provide each U.S. Holder with all necessary information in order to make the QEF election described above.</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Taxation of U.S. Holders Making a “Mark-to-Market” Election</w:t>
      </w:r>
    </w:p>
    <w:p>
      <w:pPr>
        <w:spacing w:after="0" w:line="172"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Alternatively, if we were to be treated as a PFIC for any taxable year and, as we anticipate, our common shares were treated as “marketable stock,” a U.S. Holder would be allowed to make a “mark-to-market” election with respect to our common shares, provided the U.S. Holder completes and files IRS Form 8621 in accordance with the relevant instructions and related U.S. Treasury Regulations. If that election is made, the U.S. Holder generally would include as ordinary income in each taxable year the excess, if any, of the fair market value of the common shares at the end of the taxable year over such holder’s adjusted tax basis in the common shares. The U.S. Holder would also be permitted an ordinary loss in respect of the excess, if any, of the U.S. Holder’s adjusted tax basis in the common shares over the fair market value thereof at the end of the taxable year, but only to the extent of the net amount previously included in income as a result of the mark-to-market election. A U.S. Holder’s tax basis in his common shares would be adjusted to reflect any such income or loss amount. Gain realized on the sale, exchange or other disposition of our common shares would be treated as ordinary income, and any loss realized on the sale, exchange or other disposition of the common shares would be treated as ordinary loss to the extent that such loss does not exceed the net mark-to-market gains previously included by the U.S. Holder.</w:t>
      </w:r>
    </w:p>
    <w:p>
      <w:pPr>
        <w:spacing w:after="0" w:line="135"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127</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128" w:name="page129"/>
    <w:bookmarkEnd w:id="128"/>
    <w:p>
      <w:pPr>
        <w:ind w:left="480"/>
        <w:spacing w:after="0"/>
        <w:rPr>
          <w:sz w:val="20"/>
          <w:szCs w:val="20"/>
          <w:color w:val="auto"/>
        </w:rPr>
      </w:pPr>
      <w:r>
        <w:rPr>
          <w:rFonts w:ascii="Times New Roman" w:cs="Times New Roman" w:eastAsia="Times New Roman" w:hAnsi="Times New Roman"/>
          <w:sz w:val="13"/>
          <w:szCs w:val="13"/>
          <w:b w:val="1"/>
          <w:bCs w:val="1"/>
          <w:color w:val="auto"/>
        </w:rPr>
        <w:t>Taxation of U.S. Holders not making a timely QEF or mark-to-market election</w:t>
      </w:r>
    </w:p>
    <w:p>
      <w:pPr>
        <w:spacing w:after="0" w:line="172"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Finally, if we were to be treated as a PFIC for any taxable year, a U.S. Holder who does not make either a QEF election or a “mark-to-market” election for that year (a “Non-Electing Holder”) would be subject to special rules with respect to (1) any excess distribution (i.e., the portion of any distributions received by the Non-Electing Holder on our common shares in a taxable year other than the taxable year in which the Non-Electing Holder’s holding period in the common shares begins in excess of 125% of the average annual distributions received by the Non-Electing Holder in the three preceding taxable years, or, if shorter, the Non-Electing Holder’s holding period for the common shares that preceded the current taxable year), and (2) any gain realized on the sale, exchange or other disposition of our common shares. Under these special rules:</w:t>
      </w:r>
    </w:p>
    <w:p>
      <w:pPr>
        <w:spacing w:after="0" w:line="133" w:lineRule="exact"/>
        <w:rPr>
          <w:sz w:val="20"/>
          <w:szCs w:val="20"/>
          <w:color w:val="auto"/>
        </w:rPr>
      </w:pPr>
    </w:p>
    <w:p>
      <w:pPr>
        <w:ind w:left="960" w:hanging="481"/>
        <w:spacing w:after="0"/>
        <w:tabs>
          <w:tab w:leader="none" w:pos="960" w:val="left"/>
        </w:tabs>
        <w:numPr>
          <w:ilvl w:val="0"/>
          <w:numId w:val="10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excess distribution or gain would be allocated ratably over the Non-Electing Holder’s aggregate holding period for the common shares;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0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amount allocated to the current taxable year and any year prior to the year we were first treated as a PFIC with respect to the Non-Electing Holder would be taxed as ordinary income; and</w:t>
      </w:r>
    </w:p>
    <w:p>
      <w:pPr>
        <w:spacing w:after="0" w:line="169" w:lineRule="exact"/>
        <w:rPr>
          <w:rFonts w:ascii="Arial" w:cs="Arial" w:eastAsia="Arial" w:hAnsi="Arial"/>
          <w:sz w:val="13"/>
          <w:szCs w:val="13"/>
          <w:b w:val="1"/>
          <w:bCs w:val="1"/>
          <w:color w:val="auto"/>
        </w:rPr>
      </w:pPr>
    </w:p>
    <w:p>
      <w:pPr>
        <w:ind w:left="960" w:hanging="481"/>
        <w:spacing w:after="0" w:line="292" w:lineRule="auto"/>
        <w:tabs>
          <w:tab w:leader="none" w:pos="960" w:val="left"/>
        </w:tabs>
        <w:numPr>
          <w:ilvl w:val="0"/>
          <w:numId w:val="10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w:t>
      </w:r>
    </w:p>
    <w:p>
      <w:pPr>
        <w:spacing w:after="0" w:line="115"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These penalties would not apply to a qualified pension, profit sharing or other retirement trust or other tax-exempt organization that did not borrow money or otherwise utilize leverage in connection with its acquisition of our common shares. If we were treated as a PFIC for any taxable year and a Non-Electing Holder who is an individual dies while owning our common shares, such holder’s successor generally would not receive a step-up in tax basis with respect to such shares.</w:t>
      </w:r>
    </w:p>
    <w:p>
      <w:pPr>
        <w:spacing w:after="0" w:line="1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Shareholder Reporting</w:t>
      </w:r>
    </w:p>
    <w:p>
      <w:pPr>
        <w:spacing w:after="0" w:line="172"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A U.S. Holder that owns “specified foreign financial assets” (as defined in Section 6038D of the Code and applicable Treasury Regulations) with an aggregate value in excess of $50,000 (and in some circumstances, a higher threshold) may be required to file an information report with respect to such assets with its tax return. “Specified foreign financial assets” may include financial accounts maintained by foreign financial institutions, as well as the following, but only if they are held for investment and not held in accounts maintained by financial institutions: (i) stocks and securities issued by non-United States persons, (ii) financial instruments and contracts that have non-United States issuers or counterparties, and (iii) interests in foreign entities. Significant penalties may apply for failing to satisfy this filing requirement. U.S. Holders are urged to contact their tax advisors regarding this filing requirement.</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U.S. Federal Income Taxation of Non-U.S. Holders</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A beneficial owner of our common shares (other than a partnership, including any entity or arrangement treated as a partnership for U.S. federal income tax purposes) that is not a U.S. Holder is a Non-U.S. Holder.</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Distributions</w:t>
      </w:r>
    </w:p>
    <w:p>
      <w:pPr>
        <w:spacing w:after="0" w:line="172" w:lineRule="exact"/>
        <w:rPr>
          <w:sz w:val="20"/>
          <w:szCs w:val="20"/>
          <w:color w:val="auto"/>
        </w:rPr>
      </w:pPr>
    </w:p>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Distributions paid to a Non-U.S. Holder in respect of common shares will not be subject to United States federal income tax or withholding tax if the Non-U.S. Holder is not engaged in a United States trade or business. If the Non-U.S. Holder is engaged in a United States trade or business, distributions paid in respect of common shares may be subject to United States federal income tax to the extent those distributions constitute income “effectively connected” with that Non-U.S. Holder’s United States trade or business. However, distributions paid to a Non-U.S. Holder who is engaged in a United States trade or business may be exempt from United States federal income taxation under an income tax treaty if the income represented thereby is not attributable to a United States permanent establishment maintained by the Non-U.S. Holder. “Effectively connected” distributions recognized by a corporate Non-U.S. Holder may also, under certain circumstances, be subject to an additional “branch profits tax” at a 30% rate, or at a lower rate if the corporate Non-U.S. Holder is eligible for the benefits of an income tax treaty that provides for a lower rate.</w:t>
      </w:r>
    </w:p>
    <w:p>
      <w:pPr>
        <w:spacing w:after="0" w:line="135"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128</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129" w:name="page130"/>
    <w:bookmarkEnd w:id="129"/>
    <w:p>
      <w:pPr>
        <w:ind w:left="480"/>
        <w:spacing w:after="0"/>
        <w:rPr>
          <w:sz w:val="20"/>
          <w:szCs w:val="20"/>
          <w:color w:val="auto"/>
        </w:rPr>
      </w:pPr>
      <w:r>
        <w:rPr>
          <w:rFonts w:ascii="Times New Roman" w:cs="Times New Roman" w:eastAsia="Times New Roman" w:hAnsi="Times New Roman"/>
          <w:sz w:val="13"/>
          <w:szCs w:val="13"/>
          <w:b w:val="1"/>
          <w:bCs w:val="1"/>
          <w:color w:val="auto"/>
        </w:rPr>
        <w:t>Disposition of Common Shares</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The United States federal income taxation of Non-U.S. Holders on any gain resulting from the disposition of common shares is generally the same as described above regarding distributions. However, individual Non-U.S. Holders may also be subject to U.S. federal income tax on gain resulting from the disposition of common shares if they are present in the United States for 183 or more days during the taxable year of the sale in which those shares are disposed and meet certain other requirements.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Backup Withholding and Information Reporting</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In the case of a U.S. Individual Holder, information reporting requirements, on IRS Form 1099, generally will apply to:</w:t>
      </w:r>
    </w:p>
    <w:p>
      <w:pPr>
        <w:spacing w:after="0" w:line="170" w:lineRule="exact"/>
        <w:rPr>
          <w:sz w:val="20"/>
          <w:szCs w:val="20"/>
          <w:color w:val="auto"/>
        </w:rPr>
      </w:pPr>
    </w:p>
    <w:p>
      <w:pPr>
        <w:ind w:left="960" w:hanging="481"/>
        <w:spacing w:after="0"/>
        <w:tabs>
          <w:tab w:leader="none" w:pos="960" w:val="left"/>
        </w:tabs>
        <w:numPr>
          <w:ilvl w:val="0"/>
          <w:numId w:val="10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dividend payments or other taxable distributions made to you within the United States, and</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0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payment of proceeds to you from the sale of common shares effected at a U.S. office of a broker.</w:t>
      </w:r>
    </w:p>
    <w:p>
      <w:pPr>
        <w:spacing w:after="0" w:line="169"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Additionally, backup withholding may apply to such payments if the U.S. Individual Holder fails to comply with applicable certification requirements or (in the case of dividend payments) is notified by the IRS that it has failed to report all dividends required to be shown on its federal income tax returns.</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 Non-U.S. Holder is generally exempt from backup withholding and information reporting requirements with respect to:</w:t>
      </w:r>
    </w:p>
    <w:p>
      <w:pPr>
        <w:spacing w:after="0" w:line="170" w:lineRule="exact"/>
        <w:rPr>
          <w:sz w:val="20"/>
          <w:szCs w:val="20"/>
          <w:color w:val="auto"/>
        </w:rPr>
      </w:pPr>
    </w:p>
    <w:p>
      <w:pPr>
        <w:ind w:left="960" w:hanging="481"/>
        <w:spacing w:after="0"/>
        <w:tabs>
          <w:tab w:leader="none" w:pos="960" w:val="left"/>
        </w:tabs>
        <w:numPr>
          <w:ilvl w:val="0"/>
          <w:numId w:val="10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dividend payments made outside the United States by us or another non-United States payor, and</w:t>
      </w:r>
    </w:p>
    <w:p>
      <w:pPr>
        <w:spacing w:after="0" w:line="169" w:lineRule="exact"/>
        <w:rPr>
          <w:rFonts w:ascii="Arial" w:cs="Arial" w:eastAsia="Arial" w:hAnsi="Arial"/>
          <w:sz w:val="13"/>
          <w:szCs w:val="13"/>
          <w:b w:val="1"/>
          <w:bCs w:val="1"/>
          <w:color w:val="auto"/>
        </w:rPr>
      </w:pPr>
    </w:p>
    <w:p>
      <w:pPr>
        <w:jc w:val="both"/>
        <w:ind w:left="960" w:hanging="481"/>
        <w:spacing w:after="0" w:line="274" w:lineRule="auto"/>
        <w:tabs>
          <w:tab w:leader="none" w:pos="960" w:val="left"/>
        </w:tabs>
        <w:numPr>
          <w:ilvl w:val="0"/>
          <w:numId w:val="109"/>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other dividend payments made within the United States and the payment of the proceeds from the sale of common shares effected at a United States office of a broker, as long as either (i) the holder has furnished a valid IRS Form W-8 or other documentation upon which the payor or broker may rely to treat the payments as made to a non-U.S. person, or (ii) the holder otherwise establishes an exemption.</w:t>
      </w:r>
    </w:p>
    <w:p>
      <w:pPr>
        <w:spacing w:after="0" w:line="126"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Payment of the gross proceeds from the disposition of common shares effected at a foreign office of a broker generally will not be subject to information reporting or backup withholding. However, a sale of common shares that is effected at a foreign office of a broker could be subject to information reporting in the same manner as a sale within the United States (and in certain cases may be subject to backup withholding as well) if:</w:t>
      </w:r>
    </w:p>
    <w:p>
      <w:pPr>
        <w:spacing w:after="0" w:line="127" w:lineRule="exact"/>
        <w:rPr>
          <w:sz w:val="20"/>
          <w:szCs w:val="20"/>
          <w:color w:val="auto"/>
        </w:rPr>
      </w:pPr>
    </w:p>
    <w:p>
      <w:pPr>
        <w:ind w:left="960" w:hanging="481"/>
        <w:spacing w:after="0"/>
        <w:tabs>
          <w:tab w:leader="none" w:pos="960" w:val="left"/>
        </w:tabs>
        <w:numPr>
          <w:ilvl w:val="0"/>
          <w:numId w:val="11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broker has certain connections to the United States,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1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proceeds or confirmation are sent to the United States, or</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10"/>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sale has certain other specified connection with the United States as provided in U.S. Treasury Regulations.</w:t>
      </w:r>
    </w:p>
    <w:p>
      <w:pPr>
        <w:spacing w:after="0" w:line="169"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129</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4" w:right="319" w:bottom="1440" w:gutter="0" w:footer="0" w:header="0"/>
        </w:sectPr>
      </w:pPr>
    </w:p>
    <w:bookmarkStart w:id="130" w:name="page131"/>
    <w:bookmarkEnd w:id="130"/>
    <w:p>
      <w:pPr>
        <w:ind w:firstLine="479"/>
        <w:spacing w:after="0" w:line="293" w:lineRule="auto"/>
        <w:rPr>
          <w:sz w:val="20"/>
          <w:szCs w:val="20"/>
          <w:color w:val="auto"/>
        </w:rPr>
      </w:pPr>
      <w:r>
        <w:rPr>
          <w:rFonts w:ascii="Times New Roman" w:cs="Times New Roman" w:eastAsia="Times New Roman" w:hAnsi="Times New Roman"/>
          <w:sz w:val="13"/>
          <w:szCs w:val="13"/>
          <w:color w:val="auto"/>
        </w:rPr>
        <w:t>Backup withholding is not an additional tax. A refund of any amounts withheld under the backup withholding rules that exceed a holder’s income tax liability may generally be obtained by filing a refund claim with the IRS.</w:t>
      </w:r>
    </w:p>
    <w:p>
      <w:pPr>
        <w:spacing w:after="0" w:line="112" w:lineRule="exact"/>
        <w:rPr>
          <w:sz w:val="20"/>
          <w:szCs w:val="20"/>
          <w:color w:val="auto"/>
        </w:rPr>
      </w:pPr>
    </w:p>
    <w:p>
      <w:pPr>
        <w:ind w:left="480" w:right="9140" w:hanging="480"/>
        <w:spacing w:after="0" w:line="512" w:lineRule="auto"/>
        <w:tabs>
          <w:tab w:leader="none" w:pos="480" w:val="left"/>
        </w:tabs>
        <w:numPr>
          <w:ilvl w:val="0"/>
          <w:numId w:val="11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Dividends and Paying Agents </w:t>
      </w:r>
      <w:r>
        <w:rPr>
          <w:rFonts w:ascii="Times New Roman" w:cs="Times New Roman" w:eastAsia="Times New Roman" w:hAnsi="Times New Roman"/>
          <w:sz w:val="13"/>
          <w:szCs w:val="13"/>
          <w:color w:val="auto"/>
        </w:rPr>
        <w:t>Not applicable.</w:t>
      </w:r>
    </w:p>
    <w:p>
      <w:pPr>
        <w:ind w:left="480" w:right="9520" w:hanging="480"/>
        <w:spacing w:after="0" w:line="512" w:lineRule="auto"/>
        <w:tabs>
          <w:tab w:leader="none" w:pos="480" w:val="left"/>
        </w:tabs>
        <w:numPr>
          <w:ilvl w:val="0"/>
          <w:numId w:val="11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Statements by Experts </w:t>
      </w:r>
      <w:r>
        <w:rPr>
          <w:rFonts w:ascii="Times New Roman" w:cs="Times New Roman" w:eastAsia="Times New Roman" w:hAnsi="Times New Roman"/>
          <w:sz w:val="13"/>
          <w:szCs w:val="13"/>
          <w:color w:val="auto"/>
        </w:rPr>
        <w:t>Not applicable.</w:t>
      </w:r>
    </w:p>
    <w:p>
      <w:pPr>
        <w:ind w:left="480" w:hanging="480"/>
        <w:spacing w:after="0"/>
        <w:tabs>
          <w:tab w:leader="none" w:pos="480" w:val="left"/>
        </w:tabs>
        <w:numPr>
          <w:ilvl w:val="0"/>
          <w:numId w:val="11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Documents on Display</w:t>
      </w:r>
    </w:p>
    <w:p>
      <w:pPr>
        <w:spacing w:after="0" w:line="172"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 xml:space="preserve">We are subject to the reporting requirements of the Exchange Act, as applied to foreign private issuers. The SEC maintains an internet website at </w:t>
      </w:r>
      <w:r>
        <w:rPr>
          <w:rFonts w:ascii="Times New Roman" w:cs="Times New Roman" w:eastAsia="Times New Roman" w:hAnsi="Times New Roman"/>
          <w:sz w:val="13"/>
          <w:szCs w:val="13"/>
          <w:u w:val="single" w:color="auto"/>
          <w:color w:val="auto"/>
        </w:rPr>
        <w:t>www.sec.gov</w:t>
      </w:r>
      <w:r>
        <w:rPr>
          <w:rFonts w:ascii="Times New Roman" w:cs="Times New Roman" w:eastAsia="Times New Roman" w:hAnsi="Times New Roman"/>
          <w:sz w:val="13"/>
          <w:szCs w:val="13"/>
          <w:color w:val="auto"/>
        </w:rPr>
        <w:t xml:space="preserve"> that contains reports and other information regarding issuers, including us, that file electronically with the SEC. The information contained on, or that can be accessed through this website is not part of, and is not incorporated into, this Annual Report.</w:t>
      </w:r>
    </w:p>
    <w:p>
      <w:pPr>
        <w:spacing w:after="0" w:line="114"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Whenever a reference is made in this Annual Report to a contract or other document, such reference is not necessarily complete and reference should be made to the exhibits that are a part of this Annual Report for a copy of the contract or other document.</w:t>
      </w:r>
    </w:p>
    <w:p>
      <w:pPr>
        <w:spacing w:after="0" w:line="112" w:lineRule="exact"/>
        <w:rPr>
          <w:sz w:val="20"/>
          <w:szCs w:val="20"/>
          <w:color w:val="auto"/>
        </w:rPr>
      </w:pPr>
    </w:p>
    <w:p>
      <w:pPr>
        <w:ind w:left="480" w:right="9460" w:hanging="480"/>
        <w:spacing w:after="0" w:line="512" w:lineRule="auto"/>
        <w:tabs>
          <w:tab w:leader="none" w:pos="480" w:val="left"/>
        </w:tabs>
        <w:numPr>
          <w:ilvl w:val="0"/>
          <w:numId w:val="11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Subsidiary Information </w:t>
      </w:r>
      <w:r>
        <w:rPr>
          <w:rFonts w:ascii="Times New Roman" w:cs="Times New Roman" w:eastAsia="Times New Roman" w:hAnsi="Times New Roman"/>
          <w:sz w:val="13"/>
          <w:szCs w:val="13"/>
          <w:color w:val="auto"/>
        </w:rPr>
        <w:t>Not applicable.</w:t>
      </w:r>
    </w:p>
    <w:p>
      <w:pPr>
        <w:ind w:left="480" w:right="8820" w:hanging="480"/>
        <w:spacing w:after="0" w:line="512" w:lineRule="auto"/>
        <w:tabs>
          <w:tab w:leader="none" w:pos="480" w:val="left"/>
        </w:tabs>
        <w:numPr>
          <w:ilvl w:val="0"/>
          <w:numId w:val="11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Annual Report to Security Holders </w:t>
      </w:r>
      <w:r>
        <w:rPr>
          <w:rFonts w:ascii="Times New Roman" w:cs="Times New Roman" w:eastAsia="Times New Roman" w:hAnsi="Times New Roman"/>
          <w:sz w:val="13"/>
          <w:szCs w:val="13"/>
          <w:color w:val="auto"/>
        </w:rPr>
        <w:t>Not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11. Quantitative and Qualitative Disclosures about Market Risk.</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Our Risk Management Policy</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Our policy is to continuously monitor our exposure to business risks, including the impact of changes in interest rates and currency rates, as well as inflation on earnings and cash flows. We intend to assess these risks and, when appropriate, take measures to minimize our exposure to the risks.</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Foreign Exchange Risk</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i w:val="1"/>
          <w:iCs w:val="1"/>
          <w:color w:val="auto"/>
        </w:rPr>
        <w:t>Financing activities</w:t>
      </w:r>
    </w:p>
    <w:p>
      <w:pPr>
        <w:spacing w:after="0" w:line="174"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In connection with the issuance of 2021 Bonds and 2022 Bonds, we entered into certain cross-currency swap agreements to manage the related foreign currency exchange risk by effectively converting the fixed-rate, Euro-denominated 2021 Bonds and 2022 Bonds, including the semi-annual interest payments for the duration of the 2021 Bonds and 2022 Bonds, to fixed-rate U.S. Dollar-denominated debt. The economic effect of the swap agreements is to eliminate the uncertainty of the cash flows in U.S. Dollars associated with the issuance of the 2021 Bonds and 2022 Bonds. See “Item 5. Operating and Financial Review and Prospects—B. Liquidity and Capital Resources—Borrowings (Financing Arrangements)—Senior Unsecured Bonds.”</w:t>
      </w:r>
    </w:p>
    <w:p>
      <w:pPr>
        <w:spacing w:after="0" w:line="1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i w:val="1"/>
          <w:iCs w:val="1"/>
          <w:color w:val="auto"/>
        </w:rPr>
        <w:t>Operating activities</w:t>
      </w:r>
    </w:p>
    <w:p>
      <w:pPr>
        <w:spacing w:after="0" w:line="174"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We do not have a material currency exposure risk in connection to our operating activities. We generate all of our revenues in U.S. Dollars and incur less than 10% of our expenses in currencies other than U.S. Dollars. For accounting purposes, expenses incurred in currencies other than the U.S. Dollars are translated into U.S. Dollars at the exchange rate prevailing on the date of each transaction. As of December 31, 2025, less than 10% of our liabilities were denominated in currencies other than U.S. Dollars (mainly in Euros). These liabilities were translated into U.S. Dollars at the exchange rate prevailing on December 31, 2025. We have not hedged currency exchange risks and our operating results could be adversely affected as a result.</w:t>
      </w:r>
    </w:p>
    <w:p>
      <w:pPr>
        <w:spacing w:after="0" w:line="131"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130</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131" w:name="page132"/>
    <w:bookmarkEnd w:id="131"/>
    <w:p>
      <w:pPr>
        <w:ind w:left="480"/>
        <w:spacing w:after="0"/>
        <w:rPr>
          <w:sz w:val="20"/>
          <w:szCs w:val="20"/>
          <w:color w:val="auto"/>
        </w:rPr>
      </w:pPr>
      <w:r>
        <w:rPr>
          <w:rFonts w:ascii="Times New Roman" w:cs="Times New Roman" w:eastAsia="Times New Roman" w:hAnsi="Times New Roman"/>
          <w:sz w:val="13"/>
          <w:szCs w:val="13"/>
          <w:b w:val="1"/>
          <w:bCs w:val="1"/>
          <w:i w:val="1"/>
          <w:iCs w:val="1"/>
          <w:color w:val="auto"/>
        </w:rPr>
        <w:t>Interest Rate Risk</w:t>
      </w:r>
    </w:p>
    <w:p>
      <w:pPr>
        <w:spacing w:after="0" w:line="174" w:lineRule="exact"/>
        <w:rPr>
          <w:sz w:val="20"/>
          <w:szCs w:val="20"/>
          <w:color w:val="auto"/>
        </w:rPr>
      </w:pPr>
    </w:p>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The international shipping industry is capital intensive, requiring significant amounts of investment, a significant portion of which is provided in the form of long-term debt. Our existing financing arrangements contain interest rates that fluctuate based on changes in base rates. As of December 31, 2025, $1,843.7 million out of our total debt of $2,369.9 million is floating rate debt, which means we pay interest on such debt at a margin on top of an agreed benchmark rate. Therefore, we are exposed to the risk that our interest expense may increase if interest rates rise. Recently, in response to inflationary pressures, central banks have begun to increase interest rates, which translates into increases in base interest rates that result in an increase to our interest expense on our existing floating rate debt and also result in increases to the interest rates available to us on new debt financing for our operations. See “Item 3. Key Information—D. Risk Factors</w:t>
      </w:r>
      <w:r>
        <w:rPr>
          <w:rFonts w:ascii="Times New Roman" w:cs="Times New Roman" w:eastAsia="Times New Roman" w:hAnsi="Times New Roman"/>
          <w:sz w:val="13"/>
          <w:szCs w:val="13"/>
          <w:i w:val="1"/>
          <w:iCs w:val="1"/>
          <w:color w:val="auto"/>
        </w:rPr>
        <w:t>—Risks Related to Financing Activities—A significant rise in interest rates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could result in increased interest expense.</w:t>
      </w:r>
      <w:r>
        <w:rPr>
          <w:rFonts w:ascii="Times New Roman" w:cs="Times New Roman" w:eastAsia="Times New Roman" w:hAnsi="Times New Roman"/>
          <w:sz w:val="13"/>
          <w:szCs w:val="13"/>
          <w:color w:val="auto"/>
        </w:rPr>
        <w:t>”</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i w:val="1"/>
          <w:iCs w:val="1"/>
          <w:color w:val="auto"/>
        </w:rPr>
        <w:t>Interest rate sensitivity analysis</w:t>
      </w:r>
    </w:p>
    <w:p>
      <w:pPr>
        <w:spacing w:after="0" w:line="174"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Currently, we have, and during 2025 we had, no interest rate swap agreements outstanding. A possible market disruption in determining the cost of funds for our banks resulting in increases by the lenders to their “funding costs” under our credit facilities, will lead to proportional increases in the relevant interest amounts payable under such credit facilities on a quarterly basis. As an indication of the extent of our sensitivity to interest rate changes based upon our debt level from continuing operations, an increase of 100 basis points in SOFR would have resulted in an increase in our interest expense by approximately $16.8, 16.4 million and $8.9 million for the years ended December 31, 2025, 2024 and 2023 respectively, assuming all other variables remain constant.</w:t>
      </w:r>
    </w:p>
    <w:p>
      <w:pPr>
        <w:spacing w:after="0" w:line="1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i w:val="1"/>
          <w:iCs w:val="1"/>
          <w:color w:val="auto"/>
        </w:rPr>
        <w:t>Concentration of Credit Risk</w:t>
      </w:r>
    </w:p>
    <w:p>
      <w:pPr>
        <w:spacing w:after="0" w:line="17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Financial instruments which potentially subject us to significant concentrations of credit risk consist principally of cash and cash equivalents. We place our cash and cash equivalents, consisting mostly of deposits, with creditworthy financial institutions as rated by qualified rating agencies. We do not obtain rights to collateral to reduce our credit risk.</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i w:val="1"/>
          <w:iCs w:val="1"/>
          <w:color w:val="auto"/>
        </w:rPr>
        <w:t>Inflation</w:t>
      </w:r>
    </w:p>
    <w:p>
      <w:pPr>
        <w:spacing w:after="0" w:line="174" w:lineRule="exact"/>
        <w:rPr>
          <w:sz w:val="20"/>
          <w:szCs w:val="20"/>
          <w:color w:val="auto"/>
        </w:rPr>
      </w:pPr>
    </w:p>
    <w:p>
      <w:pPr>
        <w:jc w:val="both"/>
        <w:ind w:firstLine="479"/>
        <w:spacing w:after="0" w:line="272" w:lineRule="auto"/>
        <w:rPr>
          <w:sz w:val="20"/>
          <w:szCs w:val="20"/>
          <w:color w:val="auto"/>
        </w:rPr>
      </w:pPr>
      <w:r>
        <w:rPr>
          <w:rFonts w:ascii="Times New Roman" w:cs="Times New Roman" w:eastAsia="Times New Roman" w:hAnsi="Times New Roman"/>
          <w:sz w:val="13"/>
          <w:szCs w:val="13"/>
          <w:color w:val="auto"/>
        </w:rPr>
        <w:t>As a result of the inflation experienced in 2024 and 2025, we have incurred increased operating, voyage and administrative costs. We continue to see near-term impacts on our business due to elevated inflation in the United States of America, Eurozone and other countries, including ongoing global prices pressures in the wake of the war in Ukraine, driving up energy prices and commodity prices, which continue to affect our operating and voyage expenses. As inflation becomes a significant factor in the global economy, inflationary pressures are expected to result in increased operating, voyage and financing costs.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12.Description of Securities Other than Equity Securities.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Not Applicable.</w:t>
      </w:r>
    </w:p>
    <w:p>
      <w:pPr>
        <w:spacing w:after="0" w:line="170"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131</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3"/>
          <w:szCs w:val="13"/>
          <w:b w:val="1"/>
          <w:bCs w:val="1"/>
          <w:color w:val="auto"/>
        </w:rPr>
        <w:t>PART II.</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13.Defaults, Dividend Arrearages and Delinquencies.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None.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14.Material Modifications to the Rights of Security Holders and Use of Proceeds.</w:t>
      </w:r>
    </w:p>
    <w:p>
      <w:pPr>
        <w:spacing w:after="0" w:line="172"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On the Effective Date, we completed the Conversion. For details on the Conversion, please review our report on Form 6-K filed with the SEC on August 26, 2024, including the exhibits thereto, which is incorporated by reference in this Annual Report.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15.Controls and Procedures.</w:t>
      </w:r>
    </w:p>
    <w:p>
      <w:pPr>
        <w:spacing w:after="0" w:line="170" w:lineRule="exact"/>
        <w:rPr>
          <w:sz w:val="20"/>
          <w:szCs w:val="20"/>
          <w:color w:val="auto"/>
        </w:rPr>
      </w:pPr>
    </w:p>
    <w:p>
      <w:pPr>
        <w:ind w:left="480" w:hanging="480"/>
        <w:spacing w:after="0"/>
        <w:tabs>
          <w:tab w:leader="none" w:pos="480" w:val="left"/>
        </w:tabs>
        <w:numPr>
          <w:ilvl w:val="0"/>
          <w:numId w:val="11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Disclosure Controls and Procedures</w:t>
      </w:r>
    </w:p>
    <w:p>
      <w:pPr>
        <w:spacing w:after="0" w:line="172" w:lineRule="exact"/>
        <w:rPr>
          <w:sz w:val="20"/>
          <w:szCs w:val="20"/>
          <w:color w:val="auto"/>
        </w:rPr>
      </w:pPr>
    </w:p>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As of December 31, 2025, our management conducted an evaluation pursuant to Rule 13a-15(b) and 15d-15 promulgated under the U.S. Securities Exchange Act of 1934, as amended, of the effectiveness of the design and operation of our disclosure controls and procedures as defined in Rules 13a-15(e) and 15d-15(e) under the Exchange Act. Our management recognizes that any controls and procedures, no matter how well designed and operated, can provide only reasonable, not absolute, assurance that the objectives of the disclosure controls and procedures are met. Because of the inherent limitations in all control systems, no evaluation of controls can provide absolute assurance that all control issues and instances of fraud, if any, within the company have been detected. Further, in the design and evaluation of our disclosure controls and procedures our management necessarily was required to apply its judgment in evaluating the cost-benefit relationship of possible controls and procedures. Because of the inherent limitations in a cost-effective control system, misstatements due to error or fraud may occur and not be detected.</w:t>
      </w:r>
    </w:p>
    <w:p>
      <w:pPr>
        <w:spacing w:after="0" w:line="135"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Based on this evaluation, our chief executive officer and chief financial officer concluded that, as of December 31, 2025, our disclosure controls and procedures, which include, without limitation, controls and procedures designed to ensure that information required to be disclosed by us in the reports we file or submit under the Exchange Act is accumulated and communicated to management as appropriate to allow timely decisions regarding required disclosure, were effective in providing reasonable assurance that information that was required to be disclosed by us in reports we file or submit under the Exchange Act was recorded, processed, summarized and reported within the time periods specified in the rules and forms of the SEC.</w:t>
      </w:r>
    </w:p>
    <w:p>
      <w:pPr>
        <w:spacing w:after="0" w:line="129" w:lineRule="exact"/>
        <w:rPr>
          <w:sz w:val="20"/>
          <w:szCs w:val="20"/>
          <w:color w:val="auto"/>
        </w:rPr>
      </w:pPr>
    </w:p>
    <w:p>
      <w:pPr>
        <w:ind w:left="480" w:hanging="480"/>
        <w:spacing w:after="0"/>
        <w:tabs>
          <w:tab w:leader="none" w:pos="480" w:val="left"/>
        </w:tabs>
        <w:numPr>
          <w:ilvl w:val="0"/>
          <w:numId w:val="11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Management’s Annual Report on Internal Control over Financial Reporting</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Our management is responsible for establishing and maintaining adequate internal controls over financial reporting. Our internal controls were designed to provide reasonable assurance as to the reliability of our financial reporting and the preparation and presentation of our Financial Statements for external purposes in accordance with accounting principles generally accepted in the United States.</w:t>
      </w:r>
    </w:p>
    <w:p>
      <w:pPr>
        <w:spacing w:after="0" w:line="114"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Our internal controls over financial reporting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our Financial Statements in accordance with generally accepted accounting principles, and that our receipts and expenditures are being made in accordance with authorizations of management and the directors of the Company and 3) provide reasonable assurance regarding prevention or timely detection of unauthorized acquisition, use or disposition of our assets that could have a material effect on the financial statements.</w:t>
      </w:r>
    </w:p>
    <w:p>
      <w:pPr>
        <w:spacing w:after="0" w:line="131"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Our management conducted an evaluation of the effectiveness of our internal control over financial reporting based upon the 2013 framework in Internal Control - Integrated Framework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this evaluation, management believes that our internal control over financial reporting was effective as of December 31, 2025.</w:t>
      </w:r>
    </w:p>
    <w:p>
      <w:pPr>
        <w:spacing w:after="0" w:line="127"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However, because of its inherent limitations, internal control over financial reporting may not prevent or detect misstatements even when determined to be effective and can only provide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relevant policies and procedures may deteriorate.</w:t>
      </w:r>
    </w:p>
    <w:p>
      <w:pPr>
        <w:spacing w:after="0" w:line="127"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Deloitte Certified Public Accountants S.A. (“Deloitte”), our independent registered public accounting firm, has audited the Financial Statements included herein and our internal control over financial reporting and has issued an attestation report on the effectiveness of our internal control over financial reporting which is reproduced in its entirety in Item 15.C below.</w:t>
      </w:r>
    </w:p>
    <w:p>
      <w:pPr>
        <w:spacing w:after="0" w:line="114"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132</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4" w:right="319" w:bottom="1440" w:gutter="0" w:footer="0" w:header="0"/>
        </w:sectPr>
      </w:pPr>
    </w:p>
    <w:bookmarkStart w:id="133" w:name="page134"/>
    <w:bookmarkEnd w:id="133"/>
    <w:p>
      <w:pPr>
        <w:ind w:left="480" w:hanging="480"/>
        <w:spacing w:after="0"/>
        <w:tabs>
          <w:tab w:leader="none" w:pos="480" w:val="left"/>
        </w:tabs>
        <w:numPr>
          <w:ilvl w:val="0"/>
          <w:numId w:val="11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Attestation Report of the Registered Public Accounting Firm.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Shareholders and the Board of Directors of Capital Clean Energy Carriers Corp.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Opinion on Internal Control over Financial Reporting</w:t>
      </w:r>
    </w:p>
    <w:p>
      <w:pPr>
        <w:spacing w:after="0" w:line="120"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3"/>
          <w:szCs w:val="13"/>
          <w:color w:val="auto"/>
        </w:rPr>
        <w:t xml:space="preserve">We have audited the internal control over financial reporting of Capital Clean Energy Carriers Corp. and subsidiaries (the “Company”) as of December 31, 2025, based on criteria established in </w:t>
      </w:r>
      <w:r>
        <w:rPr>
          <w:rFonts w:ascii="Times New Roman" w:cs="Times New Roman" w:eastAsia="Times New Roman" w:hAnsi="Times New Roman"/>
          <w:sz w:val="13"/>
          <w:szCs w:val="13"/>
          <w:i w:val="1"/>
          <w:iCs w:val="1"/>
          <w:color w:val="auto"/>
        </w:rPr>
        <w:t>Internal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Control - Integrated Framework (2013) </w:t>
      </w:r>
      <w:r>
        <w:rPr>
          <w:rFonts w:ascii="Times New Roman" w:cs="Times New Roman" w:eastAsia="Times New Roman" w:hAnsi="Times New Roman"/>
          <w:sz w:val="13"/>
          <w:szCs w:val="13"/>
          <w:color w:val="auto"/>
        </w:rPr>
        <w:t>issued by the Committee of Sponsoring Organizations of the Treadway Commission (COSO). In our opinion, the Company maintained, in all material respects, effective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internal control over financial reporting as of December 31, 2025, based on criteria established in </w:t>
      </w:r>
      <w:r>
        <w:rPr>
          <w:rFonts w:ascii="Times New Roman" w:cs="Times New Roman" w:eastAsia="Times New Roman" w:hAnsi="Times New Roman"/>
          <w:sz w:val="13"/>
          <w:szCs w:val="13"/>
          <w:i w:val="1"/>
          <w:iCs w:val="1"/>
          <w:color w:val="auto"/>
        </w:rPr>
        <w:t>Internal Control - Integrated Framework (2013)</w:t>
      </w:r>
      <w:r>
        <w:rPr>
          <w:rFonts w:ascii="Times New Roman" w:cs="Times New Roman" w:eastAsia="Times New Roman" w:hAnsi="Times New Roman"/>
          <w:sz w:val="13"/>
          <w:szCs w:val="13"/>
          <w:color w:val="auto"/>
        </w:rPr>
        <w:t xml:space="preserve"> issued by COSO.</w:t>
      </w:r>
    </w:p>
    <w:p>
      <w:pPr>
        <w:spacing w:after="0" w:line="75"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We have also audited, in accordance with the standards of the Public Company Accounting Oversight Board (United States) (PCAOB), the consolidated financial statements as of and for the year ended December 31, 2025 of the Company and our report dated April 27, 2026 expressed an unqualified opinion on those financial statements.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122"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1"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Definition and Limitations of Internal Control over Financial Reporting</w:t>
      </w:r>
    </w:p>
    <w:p>
      <w:pPr>
        <w:spacing w:after="0" w:line="122" w:lineRule="exact"/>
        <w:rPr>
          <w:sz w:val="20"/>
          <w:szCs w:val="20"/>
          <w:color w:val="auto"/>
        </w:rPr>
      </w:pPr>
    </w:p>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5"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Deloitte Certified Public Accountants S.A.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Athens, Greece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April 27, 2026</w:t>
      </w:r>
    </w:p>
    <w:p>
      <w:pPr>
        <w:spacing w:after="0" w:line="237"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133</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4" w:right="319" w:bottom="1440" w:gutter="0" w:footer="0" w:header="0"/>
        </w:sectPr>
      </w:pPr>
    </w:p>
    <w:bookmarkStart w:id="134" w:name="page135"/>
    <w:bookmarkEnd w:id="134"/>
    <w:p>
      <w:pPr>
        <w:ind w:left="480" w:hanging="480"/>
        <w:spacing w:after="0"/>
        <w:tabs>
          <w:tab w:leader="none" w:pos="480" w:val="left"/>
        </w:tabs>
        <w:numPr>
          <w:ilvl w:val="0"/>
          <w:numId w:val="11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Changes in Internal Control over Financial Reporting</w:t>
      </w:r>
    </w:p>
    <w:p>
      <w:pPr>
        <w:spacing w:after="0" w:line="172"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There have been no changes in our internal controls over financial reporting during the year covered by this Annual Report that have materially affected, or are reasonably likely to materially affect, our internal controls over financial reporting.</w:t>
      </w:r>
    </w:p>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Item 16.</w:t>
      </w:r>
    </w:p>
    <w:p>
      <w:pPr>
        <w:spacing w:after="0" w:line="170" w:lineRule="exact"/>
        <w:rPr>
          <w:sz w:val="20"/>
          <w:szCs w:val="20"/>
          <w:color w:val="auto"/>
        </w:rPr>
      </w:pPr>
    </w:p>
    <w:p>
      <w:pPr>
        <w:ind w:left="480" w:hanging="480"/>
        <w:spacing w:after="0"/>
        <w:tabs>
          <w:tab w:leader="none" w:pos="480" w:val="left"/>
        </w:tabs>
        <w:numPr>
          <w:ilvl w:val="0"/>
          <w:numId w:val="11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Audit Committee Financial Expert.</w:t>
      </w:r>
    </w:p>
    <w:p>
      <w:pPr>
        <w:spacing w:after="0" w:line="172"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Our board of directors has determined that director Keith Forman qualifies as an audit committee financial expert for purposes of the U.S. Sarbanes-Oxley Act of 2002 and is independent under applicable Nasdaq and SEC standards.</w:t>
      </w:r>
    </w:p>
    <w:p>
      <w:pPr>
        <w:spacing w:after="0" w:line="112" w:lineRule="exact"/>
        <w:rPr>
          <w:sz w:val="20"/>
          <w:szCs w:val="20"/>
          <w:color w:val="auto"/>
        </w:rPr>
      </w:pPr>
    </w:p>
    <w:p>
      <w:pPr>
        <w:ind w:left="480" w:hanging="480"/>
        <w:spacing w:after="0"/>
        <w:tabs>
          <w:tab w:leader="none" w:pos="480" w:val="left"/>
        </w:tabs>
        <w:numPr>
          <w:ilvl w:val="0"/>
          <w:numId w:val="11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Code of Ethics.</w:t>
      </w:r>
    </w:p>
    <w:p>
      <w:pPr>
        <w:spacing w:after="0" w:line="172"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Our board of directors has adopted a Code of Business Conduct and Ethics that includes a Code of Ethics (the “Code of Ethics”) that applies to the Company and all of its employees, directors and officers, including its chief executive officer, chief financial officer, chief accounting officer or controller, its agents and persons performing similar functions, including for the avoidance of doubt any employees, officers or directors of our Managers wherever located, as well as to all of the Company’s subsidiaries and other business entities controlled by it worldwide. The Code of Ethics incorporates terms and conditions consistent with the FCPA and U.K. Bribery Act, and includes a Gifts and Entertainment policy.</w:t>
      </w:r>
    </w:p>
    <w:p>
      <w:pPr>
        <w:spacing w:after="0" w:line="131"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This document is available under “Corporate Governance” in the Investor Relations area of our web site (</w:t>
      </w:r>
      <w:r>
        <w:rPr>
          <w:rFonts w:ascii="Times New Roman" w:cs="Times New Roman" w:eastAsia="Times New Roman" w:hAnsi="Times New Roman"/>
          <w:sz w:val="13"/>
          <w:szCs w:val="13"/>
          <w:u w:val="single" w:color="auto"/>
          <w:color w:val="auto"/>
        </w:rPr>
        <w:t>www.capitalcleanenergycarriers.com</w:t>
      </w:r>
      <w:r>
        <w:rPr>
          <w:rFonts w:ascii="Times New Roman" w:cs="Times New Roman" w:eastAsia="Times New Roman" w:hAnsi="Times New Roman"/>
          <w:sz w:val="13"/>
          <w:szCs w:val="13"/>
          <w:color w:val="auto"/>
        </w:rPr>
        <w:t>). We will also provide a hard copy of our Code of Ethics free of charge upon written request. We intend to disclose, under “Corporate Governance” in the Investor Relations area of our web site, any waivers to or amendments of the Code of Ethics for the benefit of any of our directors and executive officers within five business days of such waiver or amendment.</w:t>
      </w:r>
    </w:p>
    <w:p>
      <w:pPr>
        <w:spacing w:after="0" w:line="125" w:lineRule="exact"/>
        <w:rPr>
          <w:sz w:val="20"/>
          <w:szCs w:val="20"/>
          <w:color w:val="auto"/>
        </w:rPr>
      </w:pPr>
    </w:p>
    <w:p>
      <w:pPr>
        <w:ind w:left="480" w:hanging="480"/>
        <w:spacing w:after="0"/>
        <w:tabs>
          <w:tab w:leader="none" w:pos="480" w:val="left"/>
        </w:tabs>
        <w:numPr>
          <w:ilvl w:val="0"/>
          <w:numId w:val="11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Principal Accountant Fees and Services.</w:t>
      </w:r>
    </w:p>
    <w:p>
      <w:pPr>
        <w:spacing w:after="0" w:line="172"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Our principal accountant for 2025 and 2024 was Deloitte Certified Public Accountants S.A. (PCAOB ID No. 1163) The following table shows the fees we paid or accrued for audit and tax services provided by Deloitte and its affiliates for these periods (in thousands of U.S. Dollars).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Fees</w:t>
            </w:r>
          </w:p>
        </w:tc>
        <w:tc>
          <w:tcPr>
            <w:tcW w:w="4060" w:type="dxa"/>
            <w:vAlign w:val="bottom"/>
          </w:tcPr>
          <w:p>
            <w:pPr>
              <w:spacing w:after="0"/>
              <w:rPr>
                <w:sz w:val="15"/>
                <w:szCs w:val="15"/>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Pr>
          <w:p>
            <w:pPr>
              <w:spacing w:after="0"/>
              <w:rPr>
                <w:sz w:val="15"/>
                <w:szCs w:val="15"/>
                <w:color w:val="auto"/>
              </w:rPr>
            </w:pPr>
          </w:p>
        </w:tc>
        <w:tc>
          <w:tcPr>
            <w:tcW w:w="920" w:type="dxa"/>
            <w:vAlign w:val="bottom"/>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90"/>
        </w:trPr>
        <w:tc>
          <w:tcPr>
            <w:tcW w:w="494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3"/>
                <w:szCs w:val="13"/>
                <w:color w:val="auto"/>
              </w:rPr>
              <w:t>Audit Fees</w:t>
            </w:r>
            <w:r>
              <w:rPr>
                <w:rFonts w:ascii="Times New Roman" w:cs="Times New Roman" w:eastAsia="Times New Roman" w:hAnsi="Times New Roman"/>
                <w:sz w:val="21"/>
                <w:szCs w:val="21"/>
                <w:color w:val="auto"/>
                <w:vertAlign w:val="superscript"/>
              </w:rPr>
              <w:t>(1)</w:t>
            </w:r>
          </w:p>
        </w:tc>
        <w:tc>
          <w:tcPr>
            <w:tcW w:w="40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478.2</w:t>
            </w:r>
          </w:p>
        </w:tc>
        <w:tc>
          <w:tcPr>
            <w:tcW w:w="40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402.2</w:t>
            </w:r>
          </w:p>
        </w:tc>
      </w:tr>
      <w:tr>
        <w:trPr>
          <w:trHeight w:val="190"/>
        </w:trPr>
        <w:tc>
          <w:tcPr>
            <w:tcW w:w="4940" w:type="dxa"/>
            <w:vAlign w:val="bottom"/>
          </w:tcPr>
          <w:p>
            <w:pPr>
              <w:spacing w:after="0" w:line="190" w:lineRule="exact"/>
              <w:rPr>
                <w:sz w:val="20"/>
                <w:szCs w:val="20"/>
                <w:color w:val="auto"/>
              </w:rPr>
            </w:pPr>
            <w:r>
              <w:rPr>
                <w:rFonts w:ascii="Times New Roman" w:cs="Times New Roman" w:eastAsia="Times New Roman" w:hAnsi="Times New Roman"/>
                <w:sz w:val="13"/>
                <w:szCs w:val="13"/>
                <w:color w:val="auto"/>
              </w:rPr>
              <w:t>Audit-Related Fees</w:t>
            </w:r>
            <w:r>
              <w:rPr>
                <w:rFonts w:ascii="Times New Roman" w:cs="Times New Roman" w:eastAsia="Times New Roman" w:hAnsi="Times New Roman"/>
                <w:sz w:val="21"/>
                <w:szCs w:val="21"/>
                <w:color w:val="auto"/>
                <w:vertAlign w:val="superscript"/>
              </w:rPr>
              <w:t>(2)</w:t>
            </w:r>
          </w:p>
        </w:tc>
        <w:tc>
          <w:tcPr>
            <w:tcW w:w="4060" w:type="dxa"/>
            <w:vAlign w:val="bottom"/>
          </w:tcPr>
          <w:p>
            <w:pPr>
              <w:spacing w:after="0"/>
              <w:rPr>
                <w:sz w:val="16"/>
                <w:szCs w:val="16"/>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47.6</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r>
      <w:tr>
        <w:trPr>
          <w:trHeight w:val="190"/>
        </w:trPr>
        <w:tc>
          <w:tcPr>
            <w:tcW w:w="494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3"/>
                <w:szCs w:val="13"/>
                <w:color w:val="auto"/>
              </w:rPr>
              <w:t>Tax Fees</w:t>
            </w:r>
            <w:r>
              <w:rPr>
                <w:rFonts w:ascii="Times New Roman" w:cs="Times New Roman" w:eastAsia="Times New Roman" w:hAnsi="Times New Roman"/>
                <w:sz w:val="21"/>
                <w:szCs w:val="21"/>
                <w:color w:val="auto"/>
                <w:vertAlign w:val="superscript"/>
              </w:rPr>
              <w:t>(3)</w:t>
            </w:r>
          </w:p>
        </w:tc>
        <w:tc>
          <w:tcPr>
            <w:tcW w:w="40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18.3</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w:t>
            </w:r>
          </w:p>
        </w:tc>
      </w:tr>
      <w:tr>
        <w:trPr>
          <w:trHeight w:val="175"/>
        </w:trPr>
        <w:tc>
          <w:tcPr>
            <w:tcW w:w="49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60" w:type="dxa"/>
            <w:vAlign w:val="bottom"/>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544.1</w:t>
            </w:r>
          </w:p>
        </w:tc>
        <w:tc>
          <w:tcPr>
            <w:tcW w:w="400" w:type="dxa"/>
            <w:vAlign w:val="bottom"/>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$ 432.1</w:t>
            </w:r>
          </w:p>
        </w:tc>
      </w:tr>
    </w:tbl>
    <w:p>
      <w:pPr>
        <w:spacing w:after="0" w:line="136" w:lineRule="exact"/>
        <w:rPr>
          <w:sz w:val="20"/>
          <w:szCs w:val="20"/>
          <w:color w:val="auto"/>
        </w:rPr>
      </w:pPr>
    </w:p>
    <w:p>
      <w:pPr>
        <w:ind w:left="240" w:hanging="240"/>
        <w:spacing w:after="0" w:line="289" w:lineRule="auto"/>
        <w:tabs>
          <w:tab w:leader="none" w:pos="240"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Audit fees represent fees for professional services provided in connection with the integraded audit of the consolidated financial statements of the Company, review of our quarterly consolidated financial information and audit services provided in connection with other regulatory filings.</w:t>
      </w:r>
    </w:p>
    <w:p>
      <w:pPr>
        <w:spacing w:after="0" w:line="146" w:lineRule="exact"/>
        <w:rPr>
          <w:rFonts w:ascii="Times New Roman" w:cs="Times New Roman" w:eastAsia="Times New Roman" w:hAnsi="Times New Roman"/>
          <w:sz w:val="12"/>
          <w:szCs w:val="12"/>
          <w:color w:val="auto"/>
        </w:rPr>
      </w:pPr>
    </w:p>
    <w:p>
      <w:pPr>
        <w:ind w:left="240" w:hanging="240"/>
        <w:spacing w:after="0"/>
        <w:tabs>
          <w:tab w:leader="none" w:pos="240"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Audit related fees represent compensation for professional services provided in connection with the public offering and listing on the Athens Stock Exchange of senior unsecured bonds by CPLP PLC.</w:t>
      </w:r>
    </w:p>
    <w:p>
      <w:pPr>
        <w:spacing w:after="0" w:line="191" w:lineRule="exact"/>
        <w:rPr>
          <w:rFonts w:ascii="Times New Roman" w:cs="Times New Roman" w:eastAsia="Times New Roman" w:hAnsi="Times New Roman"/>
          <w:sz w:val="12"/>
          <w:szCs w:val="12"/>
          <w:color w:val="auto"/>
        </w:rPr>
      </w:pPr>
    </w:p>
    <w:p>
      <w:pPr>
        <w:ind w:left="240" w:hanging="240"/>
        <w:spacing w:after="0"/>
        <w:tabs>
          <w:tab w:leader="none" w:pos="240"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 fees represent fees for professional services provided in connection with various U.S. income tax compliance and information reporting matters.</w:t>
      </w:r>
    </w:p>
    <w:p>
      <w:pPr>
        <w:spacing w:after="0" w:line="168"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The audit committee of our board of directors has the authority to pre-approve permissible audit-related and non-audit services not prohibited by law to be performed by our independent auditors and associated fees.</w:t>
      </w:r>
    </w:p>
    <w:p>
      <w:pPr>
        <w:spacing w:after="0" w:line="114"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separately pre-approved all engagements and fees paid to our principal accountant in 2025 and 2024.</w:t>
      </w:r>
    </w:p>
    <w:p>
      <w:pPr>
        <w:spacing w:after="0" w:line="127"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134</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4" w:right="319" w:bottom="1440" w:gutter="0" w:footer="0" w:header="0"/>
        </w:sectPr>
      </w:pPr>
    </w:p>
    <w:bookmarkStart w:id="135" w:name="page136"/>
    <w:bookmarkEnd w:id="135"/>
    <w:p>
      <w:pPr>
        <w:ind w:left="480" w:right="7240" w:hanging="480"/>
        <w:spacing w:after="0" w:line="512" w:lineRule="auto"/>
        <w:tabs>
          <w:tab w:leader="none" w:pos="480" w:val="left"/>
        </w:tabs>
        <w:numPr>
          <w:ilvl w:val="0"/>
          <w:numId w:val="12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Exemptions from the Listing Standards for Audit Committees. </w:t>
      </w:r>
      <w:r>
        <w:rPr>
          <w:rFonts w:ascii="Times New Roman" w:cs="Times New Roman" w:eastAsia="Times New Roman" w:hAnsi="Times New Roman"/>
          <w:sz w:val="13"/>
          <w:szCs w:val="13"/>
          <w:color w:val="auto"/>
        </w:rPr>
        <w:t>None.</w:t>
      </w:r>
    </w:p>
    <w:p>
      <w:pPr>
        <w:ind w:left="480" w:hanging="480"/>
        <w:spacing w:after="0"/>
        <w:tabs>
          <w:tab w:leader="none" w:pos="480" w:val="left"/>
        </w:tabs>
        <w:numPr>
          <w:ilvl w:val="0"/>
          <w:numId w:val="12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Purchases of Equity Securities by the Issuer and Affiliated Purchasers.</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On January 26, 2023, our board approved a Unit Repurchase Program, providing the Partnership with authorization to repurchase up to $30.0 million of the Partnership’s common units, effective for a period of two years. The Unit Repurchase Program expired in January 2025. We were permitted to repurchase these units in the open market or in privately negotiated transactions, at times and prices that we considered to be appropriate. During 2025, we did not purchase any common shares under the programs.</w:t>
      </w:r>
    </w:p>
    <w:p>
      <w:pPr>
        <w:spacing w:after="0" w:line="125" w:lineRule="exact"/>
        <w:rPr>
          <w:sz w:val="20"/>
          <w:szCs w:val="20"/>
          <w:color w:val="auto"/>
        </w:rPr>
      </w:pPr>
    </w:p>
    <w:p>
      <w:pPr>
        <w:ind w:left="480" w:right="8160" w:hanging="480"/>
        <w:spacing w:after="0" w:line="512" w:lineRule="auto"/>
        <w:tabs>
          <w:tab w:leader="none" w:pos="480" w:val="left"/>
        </w:tabs>
        <w:numPr>
          <w:ilvl w:val="0"/>
          <w:numId w:val="12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Change in Registrant’s Certifying Accountant. </w:t>
      </w:r>
      <w:r>
        <w:rPr>
          <w:rFonts w:ascii="Times New Roman" w:cs="Times New Roman" w:eastAsia="Times New Roman" w:hAnsi="Times New Roman"/>
          <w:sz w:val="13"/>
          <w:szCs w:val="13"/>
          <w:color w:val="auto"/>
        </w:rPr>
        <w:t>Not applicable.</w:t>
      </w:r>
    </w:p>
    <w:p>
      <w:pPr>
        <w:ind w:left="480" w:hanging="480"/>
        <w:spacing w:after="0"/>
        <w:tabs>
          <w:tab w:leader="none" w:pos="480" w:val="left"/>
        </w:tabs>
        <w:numPr>
          <w:ilvl w:val="0"/>
          <w:numId w:val="12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Corporate Governance.</w:t>
      </w:r>
    </w:p>
    <w:p>
      <w:pPr>
        <w:spacing w:after="0" w:line="172" w:lineRule="exact"/>
        <w:rPr>
          <w:sz w:val="20"/>
          <w:szCs w:val="20"/>
          <w:color w:val="auto"/>
        </w:rPr>
      </w:pPr>
    </w:p>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Nasdaq requires corporations with listed shares to comply with its corporate governance standards, subject to certain exceptions as set forth in Nasdaq Rule 5615. As a foreign private issuer, pursuant to Nasdaq Rule 5615(a)(3) we are not required to comply with all of the corporate governance rules that apply to listed U.S. corporations. However, we have generally chosen to comply with most of Nasdaq’s corporate governance rules as though we were a U.S. corporation. For example, although we are not required to have a majority of independent directors on our board of directors or to establish a compensation committee or a nominating/corporate governance committee under Nasdaq rules, our Bylaws provide that our board of directors must be comprised of a majority of independent directors and that we establish a conflicts committee, compensation committee and a nominating committee each composed solely of independent directors and a nominating committee composed of a majority of independent directors. For the year ended December 31, 2025, our board determined that Keith Forman, Rory Hussey, Martin Houston, Eleni Tsoukala, Atsunori Kozuki and Dimitris P. Christacopoulos were independent directors.</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following are the significant ways in which the Company’s corporate governance practices deviate from Nasdaq’s corporate governance rules that apply to listed U.S. corporations:</w:t>
      </w:r>
    </w:p>
    <w:p>
      <w:pPr>
        <w:spacing w:after="0" w:line="170" w:lineRule="exact"/>
        <w:rPr>
          <w:sz w:val="20"/>
          <w:szCs w:val="20"/>
          <w:color w:val="auto"/>
        </w:rPr>
      </w:pPr>
    </w:p>
    <w:p>
      <w:pPr>
        <w:jc w:val="both"/>
        <w:ind w:left="960" w:hanging="481"/>
        <w:spacing w:after="0" w:line="265" w:lineRule="auto"/>
        <w:tabs>
          <w:tab w:leader="none" w:pos="960" w:val="left"/>
        </w:tabs>
        <w:numPr>
          <w:ilvl w:val="0"/>
          <w:numId w:val="12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Although we have historically voluntarily produced and disseminated a proxy statement in respect of our annual meeting of shareholders and expect to continue to do so, as a foreign private issuer we are not required to solicit proxies or provide proxy statements to Nasdaq pursuant to the Nasdaq corporate governance rules or Marshall Islands law. Consistent with Marshall Islands law and as provided in our Bylaws, we will notify our shareholders of meetings between 15 and 60 days before the meeting. This notification will contain, among other things, information regarding business to be transacted at the meeting. In addition, our Bylaws provide that shareholders must give between 90 and 120 days advance notice to properly introduce any business at a meeting of the shareholders.</w:t>
      </w:r>
    </w:p>
    <w:p>
      <w:pPr>
        <w:spacing w:after="0" w:line="132" w:lineRule="exact"/>
        <w:rPr>
          <w:rFonts w:ascii="Arial" w:cs="Arial" w:eastAsia="Arial" w:hAnsi="Arial"/>
          <w:sz w:val="13"/>
          <w:szCs w:val="13"/>
          <w:b w:val="1"/>
          <w:bCs w:val="1"/>
          <w:color w:val="auto"/>
        </w:rPr>
      </w:pPr>
    </w:p>
    <w:p>
      <w:pPr>
        <w:ind w:left="960" w:hanging="481"/>
        <w:spacing w:after="0" w:line="292" w:lineRule="auto"/>
        <w:tabs>
          <w:tab w:leader="none" w:pos="960" w:val="left"/>
        </w:tabs>
        <w:numPr>
          <w:ilvl w:val="0"/>
          <w:numId w:val="12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Consistent with Marshall Islands law, we are not required to publicly disclose all agreements and arrangements between any director or nominee for director, and any person or entity other than the Company, relating to compensation or other payment in connection with such person’s candidacy for, or service as, a director of the Company.</w:t>
      </w:r>
    </w:p>
    <w:p>
      <w:pPr>
        <w:spacing w:after="0" w:line="114" w:lineRule="exact"/>
        <w:rPr>
          <w:rFonts w:ascii="Arial" w:cs="Arial" w:eastAsia="Arial" w:hAnsi="Arial"/>
          <w:sz w:val="13"/>
          <w:szCs w:val="13"/>
          <w:b w:val="1"/>
          <w:bCs w:val="1"/>
          <w:color w:val="auto"/>
        </w:rPr>
      </w:pPr>
    </w:p>
    <w:p>
      <w:pPr>
        <w:ind w:left="960" w:hanging="481"/>
        <w:spacing w:after="0" w:line="292" w:lineRule="auto"/>
        <w:tabs>
          <w:tab w:leader="none" w:pos="960" w:val="left"/>
        </w:tabs>
        <w:numPr>
          <w:ilvl w:val="0"/>
          <w:numId w:val="12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Consistent with Marshall Islands law, we are not required to have a nominating committee composed solely of independent directors. Consistent with our Articles of Incorporation and Bylaws and the Shareholders’ Agreement, our nominating committee is composed of a majority of independent directors.</w:t>
      </w:r>
    </w:p>
    <w:p>
      <w:pPr>
        <w:spacing w:after="0" w:line="114" w:lineRule="exact"/>
        <w:rPr>
          <w:rFonts w:ascii="Arial" w:cs="Arial" w:eastAsia="Arial" w:hAnsi="Arial"/>
          <w:sz w:val="13"/>
          <w:szCs w:val="13"/>
          <w:b w:val="1"/>
          <w:bCs w:val="1"/>
          <w:color w:val="auto"/>
        </w:rPr>
      </w:pPr>
    </w:p>
    <w:p>
      <w:pPr>
        <w:jc w:val="both"/>
        <w:ind w:left="960" w:hanging="481"/>
        <w:spacing w:after="0" w:line="268" w:lineRule="auto"/>
        <w:tabs>
          <w:tab w:leader="none" w:pos="960" w:val="left"/>
        </w:tabs>
        <w:numPr>
          <w:ilvl w:val="0"/>
          <w:numId w:val="12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In lieu of obtaining shareholder approval prior to the issuance of designated securities or the adoption of equity compensation plans or material amendments to such equity compensation plans, we will comply with Marshall Islands law, providing that the board of directors approves share issuances and adoptions of and material amendments to equity compensation plans. Likewise, in lieu of obtaining shareholder approval prior to the issuance of securities in certain circumstances (e.g., the issuance of securities in connection with an acquisition of the stock or assets of another company), consistent with Marshall Islands law and our Articles of Incorporation and Bylaws, the board of directors approves certain share issuances.</w:t>
      </w:r>
    </w:p>
    <w:p>
      <w:pPr>
        <w:spacing w:after="0" w:line="130" w:lineRule="exact"/>
        <w:rPr>
          <w:rFonts w:ascii="Arial" w:cs="Arial" w:eastAsia="Arial" w:hAnsi="Arial"/>
          <w:sz w:val="13"/>
          <w:szCs w:val="13"/>
          <w:b w:val="1"/>
          <w:bCs w:val="1"/>
          <w:color w:val="auto"/>
        </w:rPr>
      </w:pPr>
    </w:p>
    <w:p>
      <w:pPr>
        <w:ind w:left="960" w:hanging="481"/>
        <w:spacing w:after="0"/>
        <w:tabs>
          <w:tab w:leader="none" w:pos="960" w:val="left"/>
        </w:tabs>
        <w:numPr>
          <w:ilvl w:val="0"/>
          <w:numId w:val="12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Our board of directors is not required to meet regularly in executive sessions at which only independent directors are present and without management present.</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2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Consistent with Marshall Islands law, we do not require that our corporate actions or issuances cannot disparately reduce or restrict the voting rights of existing shareholders.</w:t>
      </w:r>
    </w:p>
    <w:p>
      <w:pPr>
        <w:spacing w:after="0" w:line="169"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Please see “Item 6. Directors, Senior Management and Employees—C. Board Practices” and “Item 10. Additional Information—B. Memorandum and Articles of Association” for more detail regarding our corporate governance practices.</w:t>
      </w:r>
    </w:p>
    <w:p>
      <w:pPr>
        <w:spacing w:after="0" w:line="114"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135</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4" w:right="319" w:bottom="1440" w:gutter="0" w:footer="0" w:header="0"/>
        </w:sectPr>
      </w:pPr>
    </w:p>
    <w:bookmarkStart w:id="136" w:name="page137"/>
    <w:bookmarkEnd w:id="136"/>
    <w:p>
      <w:pPr>
        <w:ind w:left="480" w:right="9460" w:hanging="480"/>
        <w:spacing w:after="0" w:line="512" w:lineRule="auto"/>
        <w:tabs>
          <w:tab w:leader="none" w:pos="480" w:val="left"/>
        </w:tabs>
        <w:numPr>
          <w:ilvl w:val="0"/>
          <w:numId w:val="12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Mine Safety Disclosure. </w:t>
      </w:r>
      <w:r>
        <w:rPr>
          <w:rFonts w:ascii="Times New Roman" w:cs="Times New Roman" w:eastAsia="Times New Roman" w:hAnsi="Times New Roman"/>
          <w:sz w:val="13"/>
          <w:szCs w:val="13"/>
          <w:color w:val="auto"/>
        </w:rPr>
        <w:t>Not applicable.</w:t>
      </w:r>
    </w:p>
    <w:p>
      <w:pPr>
        <w:ind w:left="480" w:right="6900" w:hanging="480"/>
        <w:spacing w:after="0" w:line="512" w:lineRule="auto"/>
        <w:tabs>
          <w:tab w:leader="none" w:pos="480" w:val="left"/>
        </w:tabs>
        <w:numPr>
          <w:ilvl w:val="0"/>
          <w:numId w:val="12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Disclosure Regarding Foreign Jurisdictions that Prevent Inspections. </w:t>
      </w:r>
      <w:r>
        <w:rPr>
          <w:rFonts w:ascii="Times New Roman" w:cs="Times New Roman" w:eastAsia="Times New Roman" w:hAnsi="Times New Roman"/>
          <w:sz w:val="13"/>
          <w:szCs w:val="13"/>
          <w:color w:val="auto"/>
        </w:rPr>
        <w:t>Not applicable.</w:t>
      </w:r>
    </w:p>
    <w:p>
      <w:pPr>
        <w:ind w:left="480" w:hanging="480"/>
        <w:spacing w:after="0"/>
        <w:tabs>
          <w:tab w:leader="none" w:pos="480" w:val="left"/>
        </w:tabs>
        <w:numPr>
          <w:ilvl w:val="0"/>
          <w:numId w:val="12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Insider Trading Policies.</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We have adopted an insider trading policy governing the purchase, sale and/or other disposition of our securities by our directors, officers, and employees and other covered persons that we believe is reasonably designed to promote compliance with insider trading laws, rules and regulations and exchange listing standards. A copy of our insider trading policy is filed as Exhibit 11.1 to this Annual Report on Form 20-F.</w:t>
      </w:r>
    </w:p>
    <w:p>
      <w:pPr>
        <w:spacing w:after="0" w:line="125" w:lineRule="exact"/>
        <w:rPr>
          <w:sz w:val="20"/>
          <w:szCs w:val="20"/>
          <w:color w:val="auto"/>
        </w:rPr>
      </w:pPr>
    </w:p>
    <w:p>
      <w:pPr>
        <w:ind w:left="480" w:hanging="480"/>
        <w:spacing w:after="0"/>
        <w:tabs>
          <w:tab w:leader="none" w:pos="480" w:val="left"/>
        </w:tabs>
        <w:numPr>
          <w:ilvl w:val="0"/>
          <w:numId w:val="12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Cybersecurity.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Risk Management and Strategy</w:t>
      </w:r>
    </w:p>
    <w:p>
      <w:pPr>
        <w:spacing w:after="0" w:line="174"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The Company’s business operations, including our onshore operations and vessel operations, rely on information and operational technology systems maintained by our Managers, which could be targeted by computer hackers and cyber terrorists. We rely on information systems maintained by our Managers for a significant part of our operations, including for the steering, navigation and propulsion systems of our vessels, communications and cargo management.</w:t>
      </w:r>
    </w:p>
    <w:p>
      <w:pPr>
        <w:spacing w:after="0" w:line="127"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Our Managers have in place safety and security measures on our vessels and onshore operations to secure our vessels against cybersecurity incidents. Our Managers’ processes for assessing, identifying and managing material risks from cybersecurity threats include:</w:t>
      </w:r>
    </w:p>
    <w:p>
      <w:pPr>
        <w:spacing w:after="0" w:line="114" w:lineRule="exact"/>
        <w:rPr>
          <w:sz w:val="20"/>
          <w:szCs w:val="20"/>
          <w:color w:val="auto"/>
        </w:rPr>
      </w:pPr>
    </w:p>
    <w:p>
      <w:pPr>
        <w:jc w:val="both"/>
        <w:ind w:left="960" w:hanging="481"/>
        <w:spacing w:after="0" w:line="285" w:lineRule="auto"/>
        <w:tabs>
          <w:tab w:leader="none" w:pos="960" w:val="left"/>
        </w:tabs>
        <w:numPr>
          <w:ilvl w:val="0"/>
          <w:numId w:val="12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cybersecurity processes designed in accordance with international standards guidelines including the National Institute of Standards and Technology (NIST) Core Framework, ISO 22301:2019 Business Continuity Management Systems, the Tanker Management Self-Assessment (TMSA) 13 Elements, BIMCO, IMO Guidelines and International Ship and Port Facility Security (ISPS) Code;</w:t>
      </w:r>
    </w:p>
    <w:p>
      <w:pPr>
        <w:spacing w:after="0" w:line="283" w:lineRule="exact"/>
        <w:rPr>
          <w:rFonts w:ascii="Arial" w:cs="Arial" w:eastAsia="Arial" w:hAnsi="Arial"/>
          <w:sz w:val="13"/>
          <w:szCs w:val="13"/>
          <w:b w:val="1"/>
          <w:bCs w:val="1"/>
          <w:color w:val="auto"/>
        </w:rPr>
      </w:pPr>
    </w:p>
    <w:p>
      <w:pPr>
        <w:ind w:left="960" w:hanging="481"/>
        <w:spacing w:after="0"/>
        <w:tabs>
          <w:tab w:leader="none" w:pos="960" w:val="left"/>
        </w:tabs>
        <w:numPr>
          <w:ilvl w:val="0"/>
          <w:numId w:val="12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system protection mechanisms such as access procedures, antivirus programs, endpoint detection &amp; response, maintaining a firewall and antispam, anti-phishing and email filtering processes;</w:t>
      </w:r>
    </w:p>
    <w:p>
      <w:pPr>
        <w:spacing w:after="0" w:line="169" w:lineRule="exact"/>
        <w:rPr>
          <w:rFonts w:ascii="Arial" w:cs="Arial" w:eastAsia="Arial" w:hAnsi="Arial"/>
          <w:sz w:val="13"/>
          <w:szCs w:val="13"/>
          <w:b w:val="1"/>
          <w:bCs w:val="1"/>
          <w:color w:val="auto"/>
        </w:rPr>
      </w:pPr>
    </w:p>
    <w:p>
      <w:pPr>
        <w:jc w:val="both"/>
        <w:ind w:left="960" w:hanging="481"/>
        <w:spacing w:after="0" w:line="274" w:lineRule="auto"/>
        <w:tabs>
          <w:tab w:leader="none" w:pos="960" w:val="left"/>
        </w:tabs>
        <w:numPr>
          <w:ilvl w:val="0"/>
          <w:numId w:val="12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implementation of internal policies and procedures, including an Information Security and Acceptable Use Policy, Information Security Management System Policy, Cyber Incident Response Procedures and Cyber Security Assessments on Policies and Procedures, to manage cybersecurity risk, implement incident reporting procedures and cybersecurity threat responses and regularly assess and monitor our cybersecurity measures;</w:t>
      </w:r>
    </w:p>
    <w:p>
      <w:pPr>
        <w:spacing w:after="0" w:line="126" w:lineRule="exact"/>
        <w:rPr>
          <w:rFonts w:ascii="Arial" w:cs="Arial" w:eastAsia="Arial" w:hAnsi="Arial"/>
          <w:sz w:val="13"/>
          <w:szCs w:val="13"/>
          <w:b w:val="1"/>
          <w:bCs w:val="1"/>
          <w:color w:val="auto"/>
        </w:rPr>
      </w:pPr>
    </w:p>
    <w:p>
      <w:pPr>
        <w:ind w:left="960" w:hanging="481"/>
        <w:spacing w:after="0"/>
        <w:tabs>
          <w:tab w:leader="none" w:pos="960" w:val="left"/>
        </w:tabs>
        <w:numPr>
          <w:ilvl w:val="0"/>
          <w:numId w:val="12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internal audit procedures to assess personnel’s compliance with information security procedures and to test the condition of our technology infrastructure;</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2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On shore penetration testing to review our cybersecurity weaknesses, using either internal competencies or external firms;</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2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a multi-vendor approach to reduce the risk of the compromise of a major cybersecurity vendor; and</w:t>
      </w:r>
    </w:p>
    <w:p>
      <w:pPr>
        <w:spacing w:after="0" w:line="169" w:lineRule="exact"/>
        <w:rPr>
          <w:rFonts w:ascii="Arial" w:cs="Arial" w:eastAsia="Arial" w:hAnsi="Arial"/>
          <w:sz w:val="13"/>
          <w:szCs w:val="13"/>
          <w:b w:val="1"/>
          <w:bCs w:val="1"/>
          <w:color w:val="auto"/>
        </w:rPr>
      </w:pPr>
    </w:p>
    <w:p>
      <w:pPr>
        <w:ind w:left="960" w:hanging="481"/>
        <w:spacing w:after="0"/>
        <w:tabs>
          <w:tab w:leader="none" w:pos="960" w:val="left"/>
        </w:tabs>
        <w:numPr>
          <w:ilvl w:val="0"/>
          <w:numId w:val="12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regular comprehensive cybersecurity training for both ship and shore personnel.</w:t>
      </w:r>
    </w:p>
    <w:p>
      <w:pPr>
        <w:spacing w:after="0" w:line="169"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Our Managers use external cybersecurity experts in connection with cybersecurity threat detection and collection of cyber threat intelligence to help us conduct internal training such as unannounced cybersecurity drills and to assist with the management and post-incident analysis of incidents.</w:t>
      </w:r>
    </w:p>
    <w:p>
      <w:pPr>
        <w:spacing w:after="0" w:line="114"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We have adopted the internal policies mentioned above to implement reporting procedures for any cybersecurity incident and a cybersecurity management framework to continuously monitor and access risk. These policies are developed and periodically reviewed by our IT steering committee. The processes outlined above have also been integrated into our overall risk management strategy.</w:t>
      </w:r>
    </w:p>
    <w:p>
      <w:pPr>
        <w:spacing w:after="0" w:line="114"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136</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4" w:right="3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3"/>
          <w:szCs w:val="13"/>
          <w:b w:val="1"/>
          <w:bCs w:val="1"/>
          <w:i w:val="1"/>
          <w:iCs w:val="1"/>
          <w:color w:val="auto"/>
        </w:rPr>
        <w:t>Governance</w:t>
      </w:r>
    </w:p>
    <w:p>
      <w:pPr>
        <w:spacing w:after="0" w:line="17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The Audit Committee has ultimate responsibility for the oversight of cybersecurity risks and responses to cybersecurity incidents, should they arise. The Audit Committee receives quarterly updates about cybersecurity threats and processes from the CEO.</w:t>
      </w:r>
    </w:p>
    <w:p>
      <w:pPr>
        <w:spacing w:after="0" w:line="114"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The key management body responsible for accessing and managing material risks from cybersecurity threats is our IT steering committee which is made up of the CEO, the CFO and the Head of Information, Communication and Technology of Capital Ship Management (“ICT”). The IT steering committee periodically extends invitations to additional participants.</w:t>
      </w:r>
    </w:p>
    <w:p>
      <w:pPr>
        <w:spacing w:after="0" w:line="114"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The IT steering committee receives information from the Head of ICT regarding the monitoring, prevention, detection, mitigation and remediation of cybersecurity incidents logged by the ICT department. ICT is responsible for researching, developing, implementing, testing and reviewing our information security to protect information and prevent unauthorized access. Our procedures provide that, to the extent any cybersecurity incident occurs, the Head of ICT is the immediate contact. The IT steering committee then takes follow-up actions, including reporting the incident to relevant stakeholders, carrying out a post-incident review and updating key information, controls and processes. The CEO, who supervises the IT steering committee then reports to the Audit Committee, as discussed above, which assesses, with the support of the legal team, the materiality of incidents in the context of our reporting and disclosure obligations.</w:t>
      </w:r>
    </w:p>
    <w:p>
      <w:pPr>
        <w:spacing w:after="0" w:line="133"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137</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3"/>
          <w:szCs w:val="13"/>
          <w:b w:val="1"/>
          <w:bCs w:val="1"/>
          <w:color w:val="auto"/>
        </w:rPr>
        <w:t>PART III.</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17.Financial Statements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18.Financial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19.Exhibits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exhibits are filed as part of this Annual Report:</w:t>
      </w:r>
    </w:p>
    <w:p>
      <w:pPr>
        <w:spacing w:after="0" w:line="1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25" w:lineRule="exact"/>
        <w:rPr>
          <w:sz w:val="20"/>
          <w:szCs w:val="20"/>
          <w:color w:val="auto"/>
        </w:rPr>
      </w:pPr>
    </w:p>
    <w:p>
      <w:pPr>
        <w:ind w:left="180"/>
        <w:spacing w:after="0"/>
        <w:tabs>
          <w:tab w:leader="none" w:pos="620" w:val="left"/>
        </w:tabs>
        <w:rPr>
          <w:sz w:val="20"/>
          <w:szCs w:val="20"/>
          <w:color w:val="auto"/>
        </w:rPr>
      </w:pPr>
      <w:r>
        <w:rPr>
          <w:rFonts w:ascii="Times New Roman" w:cs="Times New Roman" w:eastAsia="Times New Roman" w:hAnsi="Times New Roman"/>
          <w:sz w:val="13"/>
          <w:szCs w:val="13"/>
          <w:b w:val="1"/>
          <w:bCs w:val="1"/>
          <w:color w:val="auto"/>
        </w:rPr>
        <w:t>No.</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0" w:type="dxa"/>
            <w:vAlign w:val="bottom"/>
          </w:tcPr>
          <w:p>
            <w:pPr>
              <w:spacing w:after="0"/>
              <w:rPr>
                <w:sz w:val="13"/>
                <w:szCs w:val="13"/>
                <w:color w:val="auto"/>
              </w:rPr>
            </w:pPr>
          </w:p>
        </w:tc>
        <w:tc>
          <w:tcPr>
            <w:tcW w:w="160" w:type="dxa"/>
            <w:vAlign w:val="bottom"/>
            <w:vMerge w:val="restart"/>
          </w:tcPr>
          <w:p>
            <w:pPr>
              <w:jc w:val="right"/>
              <w:spacing w:after="0"/>
              <w:rPr>
                <w:rFonts w:ascii="Times New Roman" w:cs="Times New Roman" w:eastAsia="Times New Roman" w:hAnsi="Times New Roman"/>
                <w:sz w:val="13"/>
                <w:szCs w:val="13"/>
                <w:color w:val="0000EE"/>
                <w:w w:val="85"/>
              </w:rPr>
            </w:pPr>
            <w:hyperlink r:id="rId160">
              <w:r>
                <w:rPr>
                  <w:rFonts w:ascii="Times New Roman" w:cs="Times New Roman" w:eastAsia="Times New Roman" w:hAnsi="Times New Roman"/>
                  <w:sz w:val="13"/>
                  <w:szCs w:val="13"/>
                  <w:color w:val="0000EE"/>
                  <w:w w:val="85"/>
                </w:rPr>
                <w:t>1.</w:t>
              </w:r>
              <w:r>
                <w:rPr>
                  <w:rFonts w:ascii="Times New Roman" w:cs="Times New Roman" w:eastAsia="Times New Roman" w:hAnsi="Times New Roman"/>
                  <w:sz w:val="13"/>
                  <w:szCs w:val="13"/>
                  <w:u w:val="single" w:color="auto"/>
                  <w:color w:val="0000EE"/>
                  <w:w w:val="85"/>
                </w:rPr>
                <w:t>1</w:t>
              </w:r>
            </w:hyperlink>
          </w:p>
        </w:tc>
        <w:tc>
          <w:tcPr>
            <w:tcW w:w="400" w:type="dxa"/>
            <w:vAlign w:val="bottom"/>
            <w:vMerge w:val="restart"/>
          </w:tcPr>
          <w:p>
            <w:pPr>
              <w:spacing w:after="0"/>
              <w:rPr>
                <w:sz w:val="13"/>
                <w:szCs w:val="13"/>
                <w:color w:val="auto"/>
              </w:rPr>
            </w:pPr>
          </w:p>
        </w:tc>
        <w:tc>
          <w:tcPr>
            <w:tcW w:w="3460" w:type="dxa"/>
            <w:vAlign w:val="bottom"/>
            <w:gridSpan w:val="4"/>
            <w:vMerge w:val="restart"/>
          </w:tcPr>
          <w:p>
            <w:pPr>
              <w:spacing w:after="0"/>
              <w:rPr>
                <w:rFonts w:ascii="Times New Roman" w:cs="Times New Roman" w:eastAsia="Times New Roman" w:hAnsi="Times New Roman"/>
                <w:sz w:val="13"/>
                <w:szCs w:val="13"/>
                <w:color w:val="0000EE"/>
              </w:rPr>
            </w:pPr>
            <w:hyperlink r:id="rId160">
              <w:r>
                <w:rPr>
                  <w:rFonts w:ascii="Times New Roman" w:cs="Times New Roman" w:eastAsia="Times New Roman" w:hAnsi="Times New Roman"/>
                  <w:sz w:val="13"/>
                  <w:szCs w:val="13"/>
                  <w:color w:val="0000EE"/>
                </w:rPr>
                <w:t>Certificate of Conversion of Capital Clean Energy Carriers Corp.</w:t>
              </w:r>
            </w:hyperlink>
          </w:p>
        </w:tc>
        <w:tc>
          <w:tcPr>
            <w:tcW w:w="1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1"/>
                <w:szCs w:val="11"/>
                <w:color w:val="0000EE"/>
                <w:w w:val="93"/>
              </w:rPr>
              <w:t>(1)</w:t>
            </w:r>
          </w:p>
        </w:tc>
        <w:tc>
          <w:tcPr>
            <w:tcW w:w="2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84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240" w:type="dxa"/>
            <w:vAlign w:val="bottom"/>
            <w:vMerge w:val="restart"/>
          </w:tcPr>
          <w:p>
            <w:pPr>
              <w:spacing w:after="0"/>
              <w:rPr>
                <w:sz w:val="13"/>
                <w:szCs w:val="13"/>
                <w:color w:val="auto"/>
              </w:rPr>
            </w:pPr>
          </w:p>
        </w:tc>
        <w:tc>
          <w:tcPr>
            <w:tcW w:w="78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3620" w:type="dxa"/>
            <w:vAlign w:val="bottom"/>
            <w:vMerge w:val="restart"/>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80" w:type="dxa"/>
            <w:vAlign w:val="bottom"/>
            <w:vMerge w:val="restart"/>
          </w:tcPr>
          <w:p>
            <w:pPr>
              <w:spacing w:after="0" w:line="20" w:lineRule="exact"/>
              <w:rPr>
                <w:sz w:val="1"/>
                <w:szCs w:val="1"/>
                <w:color w:val="auto"/>
              </w:rPr>
            </w:pPr>
          </w:p>
        </w:tc>
        <w:tc>
          <w:tcPr>
            <w:tcW w:w="160" w:type="dxa"/>
            <w:vAlign w:val="bottom"/>
            <w:tcBorders>
              <w:bottom w:val="single" w:sz="8" w:color="0000EE"/>
            </w:tcBorders>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3460" w:type="dxa"/>
            <w:vAlign w:val="bottom"/>
            <w:gridSpan w:val="4"/>
            <w:vMerge w:val="continu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620" w:type="dxa"/>
            <w:vAlign w:val="bottom"/>
            <w:vMerge w:val="continu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3460" w:type="dxa"/>
            <w:vAlign w:val="bottom"/>
            <w:tcBorders>
              <w:bottom w:val="single" w:sz="8" w:color="0000EE"/>
            </w:tcBorders>
            <w:gridSpan w:val="4"/>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620" w:type="dxa"/>
            <w:vAlign w:val="bottom"/>
            <w:vMerge w:val="continu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0" w:type="dxa"/>
            <w:vAlign w:val="bottom"/>
          </w:tcPr>
          <w:p>
            <w:pPr>
              <w:spacing w:after="0"/>
              <w:rPr>
                <w:sz w:val="21"/>
                <w:szCs w:val="21"/>
                <w:color w:val="auto"/>
              </w:rPr>
            </w:pPr>
          </w:p>
        </w:tc>
        <w:tc>
          <w:tcPr>
            <w:tcW w:w="160" w:type="dxa"/>
            <w:vAlign w:val="bottom"/>
            <w:vMerge w:val="restart"/>
          </w:tcPr>
          <w:p>
            <w:pPr>
              <w:jc w:val="right"/>
              <w:spacing w:after="0"/>
              <w:rPr>
                <w:rFonts w:ascii="Times New Roman" w:cs="Times New Roman" w:eastAsia="Times New Roman" w:hAnsi="Times New Roman"/>
                <w:sz w:val="13"/>
                <w:szCs w:val="13"/>
                <w:color w:val="0000EE"/>
                <w:w w:val="85"/>
              </w:rPr>
            </w:pPr>
            <w:hyperlink r:id="rId161">
              <w:r>
                <w:rPr>
                  <w:rFonts w:ascii="Times New Roman" w:cs="Times New Roman" w:eastAsia="Times New Roman" w:hAnsi="Times New Roman"/>
                  <w:sz w:val="13"/>
                  <w:szCs w:val="13"/>
                  <w:color w:val="0000EE"/>
                  <w:w w:val="85"/>
                </w:rPr>
                <w:t>1.</w:t>
              </w:r>
              <w:r>
                <w:rPr>
                  <w:rFonts w:ascii="Times New Roman" w:cs="Times New Roman" w:eastAsia="Times New Roman" w:hAnsi="Times New Roman"/>
                  <w:sz w:val="13"/>
                  <w:szCs w:val="13"/>
                  <w:u w:val="single" w:color="auto"/>
                  <w:color w:val="0000EE"/>
                  <w:w w:val="85"/>
                </w:rPr>
                <w:t>2</w:t>
              </w:r>
            </w:hyperlink>
          </w:p>
        </w:tc>
        <w:tc>
          <w:tcPr>
            <w:tcW w:w="400" w:type="dxa"/>
            <w:vAlign w:val="bottom"/>
            <w:vMerge w:val="restart"/>
          </w:tcPr>
          <w:p>
            <w:pPr>
              <w:spacing w:after="0"/>
              <w:rPr>
                <w:sz w:val="21"/>
                <w:szCs w:val="21"/>
                <w:color w:val="auto"/>
              </w:rPr>
            </w:pPr>
          </w:p>
        </w:tc>
        <w:tc>
          <w:tcPr>
            <w:tcW w:w="3440" w:type="dxa"/>
            <w:vAlign w:val="bottom"/>
            <w:gridSpan w:val="3"/>
            <w:vMerge w:val="restart"/>
          </w:tcPr>
          <w:p>
            <w:pPr>
              <w:spacing w:after="0"/>
              <w:rPr>
                <w:rFonts w:ascii="Times New Roman" w:cs="Times New Roman" w:eastAsia="Times New Roman" w:hAnsi="Times New Roman"/>
                <w:sz w:val="13"/>
                <w:szCs w:val="13"/>
                <w:color w:val="0000EE"/>
              </w:rPr>
            </w:pPr>
            <w:hyperlink r:id="rId161">
              <w:r>
                <w:rPr>
                  <w:rFonts w:ascii="Times New Roman" w:cs="Times New Roman" w:eastAsia="Times New Roman" w:hAnsi="Times New Roman"/>
                  <w:sz w:val="13"/>
                  <w:szCs w:val="13"/>
                  <w:color w:val="0000EE"/>
                </w:rPr>
                <w:t>Articles of Incorporation of Capital Clean Energy Carriers Corp.</w:t>
              </w:r>
            </w:hyperlink>
          </w:p>
        </w:tc>
        <w:tc>
          <w:tcPr>
            <w:tcW w:w="12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1"/>
                <w:szCs w:val="11"/>
                <w:color w:val="0000EE"/>
                <w:w w:val="77"/>
              </w:rPr>
              <w:t>(1)</w:t>
            </w:r>
          </w:p>
        </w:tc>
        <w:tc>
          <w:tcPr>
            <w:tcW w:w="60" w:type="dxa"/>
            <w:vAlign w:val="bottom"/>
            <w:gridSpan w:val="2"/>
            <w:vMerge w:val="restart"/>
          </w:tcPr>
          <w:p>
            <w:pPr>
              <w:spacing w:after="0"/>
              <w:rPr>
                <w:sz w:val="21"/>
                <w:szCs w:val="21"/>
                <w:color w:val="auto"/>
              </w:rPr>
            </w:pPr>
          </w:p>
        </w:tc>
        <w:tc>
          <w:tcPr>
            <w:tcW w:w="100" w:type="dxa"/>
            <w:vAlign w:val="bottom"/>
            <w:vMerge w:val="restart"/>
          </w:tcPr>
          <w:p>
            <w:pPr>
              <w:spacing w:after="0"/>
              <w:rPr>
                <w:sz w:val="21"/>
                <w:szCs w:val="21"/>
                <w:color w:val="auto"/>
              </w:rPr>
            </w:pPr>
          </w:p>
        </w:tc>
        <w:tc>
          <w:tcPr>
            <w:tcW w:w="120" w:type="dxa"/>
            <w:vAlign w:val="bottom"/>
            <w:vMerge w:val="restart"/>
          </w:tcPr>
          <w:p>
            <w:pPr>
              <w:spacing w:after="0"/>
              <w:rPr>
                <w:sz w:val="21"/>
                <w:szCs w:val="21"/>
                <w:color w:val="auto"/>
              </w:rPr>
            </w:pPr>
          </w:p>
        </w:tc>
        <w:tc>
          <w:tcPr>
            <w:tcW w:w="10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840" w:type="dxa"/>
            <w:vAlign w:val="bottom"/>
            <w:vMerge w:val="restart"/>
          </w:tcPr>
          <w:p>
            <w:pPr>
              <w:spacing w:after="0"/>
              <w:rPr>
                <w:sz w:val="21"/>
                <w:szCs w:val="21"/>
                <w:color w:val="auto"/>
              </w:rPr>
            </w:pPr>
          </w:p>
        </w:tc>
        <w:tc>
          <w:tcPr>
            <w:tcW w:w="140" w:type="dxa"/>
            <w:vAlign w:val="bottom"/>
            <w:vMerge w:val="restart"/>
          </w:tcPr>
          <w:p>
            <w:pPr>
              <w:spacing w:after="0"/>
              <w:rPr>
                <w:sz w:val="21"/>
                <w:szCs w:val="21"/>
                <w:color w:val="auto"/>
              </w:rPr>
            </w:pPr>
          </w:p>
        </w:tc>
        <w:tc>
          <w:tcPr>
            <w:tcW w:w="240" w:type="dxa"/>
            <w:vAlign w:val="bottom"/>
            <w:vMerge w:val="restart"/>
          </w:tcPr>
          <w:p>
            <w:pPr>
              <w:spacing w:after="0"/>
              <w:rPr>
                <w:sz w:val="21"/>
                <w:szCs w:val="21"/>
                <w:color w:val="auto"/>
              </w:rPr>
            </w:pPr>
          </w:p>
        </w:tc>
        <w:tc>
          <w:tcPr>
            <w:tcW w:w="780" w:type="dxa"/>
            <w:vAlign w:val="bottom"/>
            <w:vMerge w:val="restart"/>
          </w:tcPr>
          <w:p>
            <w:pPr>
              <w:spacing w:after="0"/>
              <w:rPr>
                <w:sz w:val="21"/>
                <w:szCs w:val="21"/>
                <w:color w:val="auto"/>
              </w:rPr>
            </w:pPr>
          </w:p>
        </w:tc>
        <w:tc>
          <w:tcPr>
            <w:tcW w:w="120" w:type="dxa"/>
            <w:vAlign w:val="bottom"/>
            <w:vMerge w:val="restart"/>
          </w:tcPr>
          <w:p>
            <w:pPr>
              <w:spacing w:after="0"/>
              <w:rPr>
                <w:sz w:val="21"/>
                <w:szCs w:val="21"/>
                <w:color w:val="auto"/>
              </w:rPr>
            </w:pPr>
          </w:p>
        </w:tc>
        <w:tc>
          <w:tcPr>
            <w:tcW w:w="3620" w:type="dxa"/>
            <w:vAlign w:val="bottom"/>
            <w:vMerge w:val="restart"/>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80" w:type="dxa"/>
            <w:vAlign w:val="bottom"/>
            <w:vMerge w:val="restart"/>
          </w:tcPr>
          <w:p>
            <w:pPr>
              <w:spacing w:after="0" w:line="20" w:lineRule="exact"/>
              <w:rPr>
                <w:sz w:val="1"/>
                <w:szCs w:val="1"/>
                <w:color w:val="auto"/>
              </w:rPr>
            </w:pPr>
          </w:p>
        </w:tc>
        <w:tc>
          <w:tcPr>
            <w:tcW w:w="160" w:type="dxa"/>
            <w:vAlign w:val="bottom"/>
            <w:tcBorders>
              <w:bottom w:val="single" w:sz="8" w:color="0000EE"/>
            </w:tcBorders>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3440" w:type="dxa"/>
            <w:vAlign w:val="bottom"/>
            <w:gridSpan w:val="3"/>
            <w:vMerge w:val="continue"/>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620" w:type="dxa"/>
            <w:vAlign w:val="bottom"/>
            <w:vMerge w:val="continu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3440" w:type="dxa"/>
            <w:vAlign w:val="bottom"/>
            <w:tcBorders>
              <w:bottom w:val="single" w:sz="8" w:color="0000EE"/>
            </w:tcBorders>
            <w:gridSpan w:val="3"/>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620" w:type="dxa"/>
            <w:vAlign w:val="bottom"/>
            <w:vMerge w:val="continu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0" w:type="dxa"/>
            <w:vAlign w:val="bottom"/>
          </w:tcPr>
          <w:p>
            <w:pPr>
              <w:spacing w:after="0"/>
              <w:rPr>
                <w:sz w:val="21"/>
                <w:szCs w:val="21"/>
                <w:color w:val="auto"/>
              </w:rPr>
            </w:pPr>
          </w:p>
        </w:tc>
        <w:tc>
          <w:tcPr>
            <w:tcW w:w="160" w:type="dxa"/>
            <w:vAlign w:val="bottom"/>
            <w:vMerge w:val="restart"/>
          </w:tcPr>
          <w:p>
            <w:pPr>
              <w:jc w:val="right"/>
              <w:spacing w:after="0"/>
              <w:rPr>
                <w:rFonts w:ascii="Times New Roman" w:cs="Times New Roman" w:eastAsia="Times New Roman" w:hAnsi="Times New Roman"/>
                <w:sz w:val="13"/>
                <w:szCs w:val="13"/>
                <w:color w:val="0000EE"/>
                <w:w w:val="85"/>
              </w:rPr>
            </w:pPr>
            <w:hyperlink r:id="rId162">
              <w:r>
                <w:rPr>
                  <w:rFonts w:ascii="Times New Roman" w:cs="Times New Roman" w:eastAsia="Times New Roman" w:hAnsi="Times New Roman"/>
                  <w:sz w:val="13"/>
                  <w:szCs w:val="13"/>
                  <w:color w:val="0000EE"/>
                  <w:w w:val="85"/>
                </w:rPr>
                <w:t>1.</w:t>
              </w:r>
              <w:r>
                <w:rPr>
                  <w:rFonts w:ascii="Times New Roman" w:cs="Times New Roman" w:eastAsia="Times New Roman" w:hAnsi="Times New Roman"/>
                  <w:sz w:val="13"/>
                  <w:szCs w:val="13"/>
                  <w:u w:val="single" w:color="auto"/>
                  <w:color w:val="0000EE"/>
                  <w:w w:val="85"/>
                </w:rPr>
                <w:t>3</w:t>
              </w:r>
            </w:hyperlink>
          </w:p>
        </w:tc>
        <w:tc>
          <w:tcPr>
            <w:tcW w:w="400" w:type="dxa"/>
            <w:vAlign w:val="bottom"/>
            <w:vMerge w:val="restart"/>
          </w:tcPr>
          <w:p>
            <w:pPr>
              <w:spacing w:after="0"/>
              <w:rPr>
                <w:sz w:val="21"/>
                <w:szCs w:val="21"/>
                <w:color w:val="auto"/>
              </w:rPr>
            </w:pPr>
          </w:p>
        </w:tc>
        <w:tc>
          <w:tcPr>
            <w:tcW w:w="2520" w:type="dxa"/>
            <w:vAlign w:val="bottom"/>
            <w:vMerge w:val="restart"/>
          </w:tcPr>
          <w:p>
            <w:pPr>
              <w:spacing w:after="0"/>
              <w:rPr>
                <w:rFonts w:ascii="Times New Roman" w:cs="Times New Roman" w:eastAsia="Times New Roman" w:hAnsi="Times New Roman"/>
                <w:sz w:val="13"/>
                <w:szCs w:val="13"/>
                <w:color w:val="0000EE"/>
              </w:rPr>
            </w:pPr>
            <w:hyperlink r:id="rId162">
              <w:r>
                <w:rPr>
                  <w:rFonts w:ascii="Times New Roman" w:cs="Times New Roman" w:eastAsia="Times New Roman" w:hAnsi="Times New Roman"/>
                  <w:sz w:val="13"/>
                  <w:szCs w:val="13"/>
                  <w:color w:val="0000EE"/>
                </w:rPr>
                <w:t>Bylaws of Capital Clean Energy Carriers Corp.</w:t>
              </w:r>
            </w:hyperlink>
          </w:p>
        </w:tc>
        <w:tc>
          <w:tcPr>
            <w:tcW w:w="1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1"/>
                <w:szCs w:val="11"/>
                <w:color w:val="0000EE"/>
                <w:w w:val="77"/>
              </w:rPr>
              <w:t>(1)</w:t>
            </w:r>
          </w:p>
        </w:tc>
        <w:tc>
          <w:tcPr>
            <w:tcW w:w="980" w:type="dxa"/>
            <w:vAlign w:val="bottom"/>
            <w:gridSpan w:val="5"/>
            <w:vMerge w:val="restart"/>
          </w:tcPr>
          <w:p>
            <w:pPr>
              <w:spacing w:after="0"/>
              <w:rPr>
                <w:sz w:val="21"/>
                <w:szCs w:val="21"/>
                <w:color w:val="auto"/>
              </w:rPr>
            </w:pPr>
          </w:p>
        </w:tc>
        <w:tc>
          <w:tcPr>
            <w:tcW w:w="100" w:type="dxa"/>
            <w:vAlign w:val="bottom"/>
            <w:vMerge w:val="restart"/>
          </w:tcPr>
          <w:p>
            <w:pPr>
              <w:spacing w:after="0"/>
              <w:rPr>
                <w:sz w:val="21"/>
                <w:szCs w:val="21"/>
                <w:color w:val="auto"/>
              </w:rPr>
            </w:pPr>
          </w:p>
        </w:tc>
        <w:tc>
          <w:tcPr>
            <w:tcW w:w="120" w:type="dxa"/>
            <w:vAlign w:val="bottom"/>
            <w:vMerge w:val="restart"/>
          </w:tcPr>
          <w:p>
            <w:pPr>
              <w:spacing w:after="0"/>
              <w:rPr>
                <w:sz w:val="21"/>
                <w:szCs w:val="21"/>
                <w:color w:val="auto"/>
              </w:rPr>
            </w:pPr>
          </w:p>
        </w:tc>
        <w:tc>
          <w:tcPr>
            <w:tcW w:w="10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840" w:type="dxa"/>
            <w:vAlign w:val="bottom"/>
            <w:vMerge w:val="restart"/>
          </w:tcPr>
          <w:p>
            <w:pPr>
              <w:spacing w:after="0"/>
              <w:rPr>
                <w:sz w:val="21"/>
                <w:szCs w:val="21"/>
                <w:color w:val="auto"/>
              </w:rPr>
            </w:pPr>
          </w:p>
        </w:tc>
        <w:tc>
          <w:tcPr>
            <w:tcW w:w="140" w:type="dxa"/>
            <w:vAlign w:val="bottom"/>
            <w:vMerge w:val="restart"/>
          </w:tcPr>
          <w:p>
            <w:pPr>
              <w:spacing w:after="0"/>
              <w:rPr>
                <w:sz w:val="21"/>
                <w:szCs w:val="21"/>
                <w:color w:val="auto"/>
              </w:rPr>
            </w:pPr>
          </w:p>
        </w:tc>
        <w:tc>
          <w:tcPr>
            <w:tcW w:w="240" w:type="dxa"/>
            <w:vAlign w:val="bottom"/>
            <w:vMerge w:val="restart"/>
          </w:tcPr>
          <w:p>
            <w:pPr>
              <w:spacing w:after="0"/>
              <w:rPr>
                <w:sz w:val="21"/>
                <w:szCs w:val="21"/>
                <w:color w:val="auto"/>
              </w:rPr>
            </w:pPr>
          </w:p>
        </w:tc>
        <w:tc>
          <w:tcPr>
            <w:tcW w:w="780" w:type="dxa"/>
            <w:vAlign w:val="bottom"/>
            <w:vMerge w:val="restart"/>
          </w:tcPr>
          <w:p>
            <w:pPr>
              <w:spacing w:after="0"/>
              <w:rPr>
                <w:sz w:val="21"/>
                <w:szCs w:val="21"/>
                <w:color w:val="auto"/>
              </w:rPr>
            </w:pPr>
          </w:p>
        </w:tc>
        <w:tc>
          <w:tcPr>
            <w:tcW w:w="120" w:type="dxa"/>
            <w:vAlign w:val="bottom"/>
            <w:vMerge w:val="restart"/>
          </w:tcPr>
          <w:p>
            <w:pPr>
              <w:spacing w:after="0"/>
              <w:rPr>
                <w:sz w:val="21"/>
                <w:szCs w:val="21"/>
                <w:color w:val="auto"/>
              </w:rPr>
            </w:pPr>
          </w:p>
        </w:tc>
        <w:tc>
          <w:tcPr>
            <w:tcW w:w="3620" w:type="dxa"/>
            <w:vAlign w:val="bottom"/>
            <w:vMerge w:val="restart"/>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80" w:type="dxa"/>
            <w:vAlign w:val="bottom"/>
            <w:vMerge w:val="restart"/>
          </w:tcPr>
          <w:p>
            <w:pPr>
              <w:spacing w:after="0" w:line="20" w:lineRule="exact"/>
              <w:rPr>
                <w:sz w:val="1"/>
                <w:szCs w:val="1"/>
                <w:color w:val="auto"/>
              </w:rPr>
            </w:pPr>
          </w:p>
        </w:tc>
        <w:tc>
          <w:tcPr>
            <w:tcW w:w="160" w:type="dxa"/>
            <w:vAlign w:val="bottom"/>
            <w:tcBorders>
              <w:bottom w:val="single" w:sz="8" w:color="0000EE"/>
            </w:tcBorders>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252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80" w:type="dxa"/>
            <w:vAlign w:val="bottom"/>
            <w:gridSpan w:val="5"/>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620" w:type="dxa"/>
            <w:vAlign w:val="bottom"/>
            <w:vMerge w:val="continu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2520" w:type="dxa"/>
            <w:vAlign w:val="bottom"/>
            <w:tcBorders>
              <w:bottom w:val="single" w:sz="8" w:color="0000EE"/>
            </w:tcBorders>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980" w:type="dxa"/>
            <w:vAlign w:val="bottom"/>
            <w:gridSpan w:val="5"/>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620" w:type="dxa"/>
            <w:vAlign w:val="bottom"/>
            <w:vMerge w:val="continu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EE"/>
              </w:rPr>
              <w:t>2.</w:t>
            </w:r>
            <w:r>
              <w:rPr>
                <w:rFonts w:ascii="Times New Roman" w:cs="Times New Roman" w:eastAsia="Times New Roman" w:hAnsi="Times New Roman"/>
                <w:sz w:val="13"/>
                <w:szCs w:val="13"/>
                <w:u w:val="single" w:color="auto"/>
                <w:color w:val="0000EE"/>
              </w:rPr>
              <w:t>1</w:t>
            </w:r>
          </w:p>
        </w:tc>
        <w:tc>
          <w:tcPr>
            <w:tcW w:w="10100" w:type="dxa"/>
            <w:vAlign w:val="bottom"/>
            <w:gridSpan w:val="18"/>
          </w:tcPr>
          <w:p>
            <w:pPr>
              <w:ind w:left="400"/>
              <w:spacing w:after="0"/>
              <w:rPr>
                <w:sz w:val="20"/>
                <w:szCs w:val="20"/>
                <w:color w:val="auto"/>
              </w:rPr>
            </w:pPr>
            <w:r>
              <w:rPr>
                <w:rFonts w:ascii="Times New Roman" w:cs="Times New Roman" w:eastAsia="Times New Roman" w:hAnsi="Times New Roman"/>
                <w:sz w:val="13"/>
                <w:szCs w:val="13"/>
                <w:color w:val="0000EE"/>
              </w:rPr>
              <w:t>Description of Securities registered under Section 12 of the Exchange Act</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2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1040" w:type="dxa"/>
            <w:vAlign w:val="bottom"/>
            <w:gridSpan w:val="19"/>
          </w:tcPr>
          <w:p>
            <w:pPr>
              <w:ind w:left="400"/>
              <w:spacing w:after="0"/>
              <w:rPr>
                <w:sz w:val="20"/>
                <w:szCs w:val="20"/>
                <w:color w:val="auto"/>
              </w:rPr>
            </w:pPr>
            <w:r>
              <w:rPr>
                <w:rFonts w:ascii="Times New Roman" w:cs="Times New Roman" w:eastAsia="Times New Roman" w:hAnsi="Times New Roman"/>
                <w:sz w:val="13"/>
                <w:szCs w:val="13"/>
                <w:color w:val="auto"/>
              </w:rPr>
              <w:t>Certain long-term debt instruments, none of which relates to indebtedness that exceeds 10% of the consolidated assets of Capital Clean Energy Carriers Corp., have not been filed as exhibits to this</w:t>
            </w: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40" w:type="dxa"/>
            <w:vAlign w:val="bottom"/>
            <w:gridSpan w:val="19"/>
          </w:tcPr>
          <w:p>
            <w:pPr>
              <w:ind w:left="400"/>
              <w:spacing w:after="0"/>
              <w:rPr>
                <w:sz w:val="20"/>
                <w:szCs w:val="20"/>
                <w:color w:val="auto"/>
              </w:rPr>
            </w:pPr>
            <w:r>
              <w:rPr>
                <w:rFonts w:ascii="Times New Roman" w:cs="Times New Roman" w:eastAsia="Times New Roman" w:hAnsi="Times New Roman"/>
                <w:sz w:val="13"/>
                <w:szCs w:val="13"/>
                <w:color w:val="auto"/>
              </w:rPr>
              <w:t>Form 20-F. Capital Clean Energy Carriers Corp. agrees to furnish the Securities and Exchange Commission, upon its request, a copy of any such instrument defining the rights of holders of long-</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100" w:type="dxa"/>
            <w:vAlign w:val="bottom"/>
            <w:gridSpan w:val="18"/>
          </w:tcPr>
          <w:p>
            <w:pPr>
              <w:ind w:left="400"/>
              <w:spacing w:after="0"/>
              <w:rPr>
                <w:sz w:val="20"/>
                <w:szCs w:val="20"/>
                <w:color w:val="auto"/>
              </w:rPr>
            </w:pPr>
            <w:r>
              <w:rPr>
                <w:rFonts w:ascii="Times New Roman" w:cs="Times New Roman" w:eastAsia="Times New Roman" w:hAnsi="Times New Roman"/>
                <w:sz w:val="13"/>
                <w:szCs w:val="13"/>
                <w:color w:val="auto"/>
              </w:rPr>
              <w:t>term debt of Capital Clean Energy Carriers Corp. and its consolidated subsidiaries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80" w:type="dxa"/>
            <w:vAlign w:val="bottom"/>
          </w:tcPr>
          <w:p>
            <w:pPr>
              <w:spacing w:after="0"/>
              <w:rPr>
                <w:sz w:val="23"/>
                <w:szCs w:val="23"/>
                <w:color w:val="auto"/>
              </w:rPr>
            </w:pPr>
          </w:p>
        </w:tc>
        <w:tc>
          <w:tcPr>
            <w:tcW w:w="160" w:type="dxa"/>
            <w:vAlign w:val="bottom"/>
            <w:vMerge w:val="restart"/>
          </w:tcPr>
          <w:p>
            <w:pPr>
              <w:jc w:val="right"/>
              <w:spacing w:after="0"/>
              <w:rPr>
                <w:rFonts w:ascii="Times New Roman" w:cs="Times New Roman" w:eastAsia="Times New Roman" w:hAnsi="Times New Roman"/>
                <w:sz w:val="13"/>
                <w:szCs w:val="13"/>
                <w:color w:val="0000EE"/>
                <w:w w:val="85"/>
              </w:rPr>
            </w:pPr>
            <w:hyperlink r:id="rId163">
              <w:r>
                <w:rPr>
                  <w:rFonts w:ascii="Times New Roman" w:cs="Times New Roman" w:eastAsia="Times New Roman" w:hAnsi="Times New Roman"/>
                  <w:sz w:val="13"/>
                  <w:szCs w:val="13"/>
                  <w:color w:val="0000EE"/>
                  <w:w w:val="85"/>
                </w:rPr>
                <w:t>4.</w:t>
              </w:r>
              <w:r>
                <w:rPr>
                  <w:rFonts w:ascii="Times New Roman" w:cs="Times New Roman" w:eastAsia="Times New Roman" w:hAnsi="Times New Roman"/>
                  <w:sz w:val="13"/>
                  <w:szCs w:val="13"/>
                  <w:u w:val="single" w:color="auto"/>
                  <w:color w:val="0000EE"/>
                  <w:w w:val="85"/>
                </w:rPr>
                <w:t>1</w:t>
              </w:r>
            </w:hyperlink>
          </w:p>
        </w:tc>
        <w:tc>
          <w:tcPr>
            <w:tcW w:w="400" w:type="dxa"/>
            <w:vAlign w:val="bottom"/>
            <w:vMerge w:val="restart"/>
          </w:tcPr>
          <w:p>
            <w:pPr>
              <w:spacing w:after="0"/>
              <w:rPr>
                <w:sz w:val="23"/>
                <w:szCs w:val="23"/>
                <w:color w:val="auto"/>
              </w:rPr>
            </w:pPr>
          </w:p>
        </w:tc>
        <w:tc>
          <w:tcPr>
            <w:tcW w:w="3840" w:type="dxa"/>
            <w:vAlign w:val="bottom"/>
            <w:gridSpan w:val="9"/>
            <w:vMerge w:val="restart"/>
          </w:tcPr>
          <w:p>
            <w:pPr>
              <w:spacing w:after="0"/>
              <w:rPr>
                <w:rFonts w:ascii="Times New Roman" w:cs="Times New Roman" w:eastAsia="Times New Roman" w:hAnsi="Times New Roman"/>
                <w:sz w:val="13"/>
                <w:szCs w:val="13"/>
                <w:color w:val="0000EE"/>
              </w:rPr>
            </w:pPr>
            <w:hyperlink r:id="rId163">
              <w:r>
                <w:rPr>
                  <w:rFonts w:ascii="Times New Roman" w:cs="Times New Roman" w:eastAsia="Times New Roman" w:hAnsi="Times New Roman"/>
                  <w:sz w:val="13"/>
                  <w:szCs w:val="13"/>
                  <w:color w:val="0000EE"/>
                </w:rPr>
                <w:t>Amended and Restated Omnibus Agreement, dated September 30, 2011</w:t>
              </w:r>
            </w:hyperlink>
          </w:p>
        </w:tc>
        <w:tc>
          <w:tcPr>
            <w:tcW w:w="12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1"/>
                <w:szCs w:val="11"/>
                <w:color w:val="0000EE"/>
                <w:w w:val="77"/>
              </w:rPr>
              <w:t>(3)</w:t>
            </w:r>
          </w:p>
        </w:tc>
        <w:tc>
          <w:tcPr>
            <w:tcW w:w="840" w:type="dxa"/>
            <w:vAlign w:val="bottom"/>
            <w:vMerge w:val="restart"/>
          </w:tcPr>
          <w:p>
            <w:pPr>
              <w:spacing w:after="0"/>
              <w:rPr>
                <w:sz w:val="23"/>
                <w:szCs w:val="23"/>
                <w:color w:val="auto"/>
              </w:rPr>
            </w:pPr>
          </w:p>
        </w:tc>
        <w:tc>
          <w:tcPr>
            <w:tcW w:w="140" w:type="dxa"/>
            <w:vAlign w:val="bottom"/>
            <w:vMerge w:val="restart"/>
          </w:tcPr>
          <w:p>
            <w:pPr>
              <w:spacing w:after="0"/>
              <w:rPr>
                <w:sz w:val="23"/>
                <w:szCs w:val="23"/>
                <w:color w:val="auto"/>
              </w:rPr>
            </w:pPr>
          </w:p>
        </w:tc>
        <w:tc>
          <w:tcPr>
            <w:tcW w:w="240" w:type="dxa"/>
            <w:vAlign w:val="bottom"/>
            <w:vMerge w:val="restart"/>
          </w:tcPr>
          <w:p>
            <w:pPr>
              <w:spacing w:after="0"/>
              <w:rPr>
                <w:sz w:val="23"/>
                <w:szCs w:val="23"/>
                <w:color w:val="auto"/>
              </w:rPr>
            </w:pPr>
          </w:p>
        </w:tc>
        <w:tc>
          <w:tcPr>
            <w:tcW w:w="780" w:type="dxa"/>
            <w:vAlign w:val="bottom"/>
            <w:vMerge w:val="restart"/>
          </w:tcPr>
          <w:p>
            <w:pPr>
              <w:spacing w:after="0"/>
              <w:rPr>
                <w:sz w:val="23"/>
                <w:szCs w:val="23"/>
                <w:color w:val="auto"/>
              </w:rPr>
            </w:pPr>
          </w:p>
        </w:tc>
        <w:tc>
          <w:tcPr>
            <w:tcW w:w="120" w:type="dxa"/>
            <w:vAlign w:val="bottom"/>
            <w:vMerge w:val="restart"/>
          </w:tcPr>
          <w:p>
            <w:pPr>
              <w:spacing w:after="0"/>
              <w:rPr>
                <w:sz w:val="23"/>
                <w:szCs w:val="23"/>
                <w:color w:val="auto"/>
              </w:rPr>
            </w:pPr>
          </w:p>
        </w:tc>
        <w:tc>
          <w:tcPr>
            <w:tcW w:w="3620" w:type="dxa"/>
            <w:vAlign w:val="bottom"/>
            <w:vMerge w:val="restart"/>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
        </w:trPr>
        <w:tc>
          <w:tcPr>
            <w:tcW w:w="80" w:type="dxa"/>
            <w:vAlign w:val="bottom"/>
            <w:vMerge w:val="restart"/>
          </w:tcPr>
          <w:p>
            <w:pPr>
              <w:spacing w:after="0" w:line="20" w:lineRule="exact"/>
              <w:rPr>
                <w:sz w:val="1"/>
                <w:szCs w:val="1"/>
                <w:color w:val="auto"/>
              </w:rPr>
            </w:pPr>
          </w:p>
        </w:tc>
        <w:tc>
          <w:tcPr>
            <w:tcW w:w="160" w:type="dxa"/>
            <w:vAlign w:val="bottom"/>
            <w:tcBorders>
              <w:bottom w:val="single" w:sz="8" w:color="0000EE"/>
            </w:tcBorders>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3840" w:type="dxa"/>
            <w:vAlign w:val="bottom"/>
            <w:gridSpan w:val="9"/>
            <w:vMerge w:val="continue"/>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620" w:type="dxa"/>
            <w:vAlign w:val="bottom"/>
            <w:vMerge w:val="continu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3840" w:type="dxa"/>
            <w:vAlign w:val="bottom"/>
            <w:tcBorders>
              <w:bottom w:val="single" w:sz="8" w:color="0000EE"/>
            </w:tcBorders>
            <w:gridSpan w:val="9"/>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620" w:type="dxa"/>
            <w:vAlign w:val="bottom"/>
            <w:vMerge w:val="continu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EE"/>
              </w:rPr>
              <w:t>4.</w:t>
            </w:r>
            <w:r>
              <w:rPr>
                <w:rFonts w:ascii="Times New Roman" w:cs="Times New Roman" w:eastAsia="Times New Roman" w:hAnsi="Times New Roman"/>
                <w:sz w:val="13"/>
                <w:szCs w:val="13"/>
                <w:u w:val="single" w:color="auto"/>
                <w:color w:val="0000EE"/>
              </w:rPr>
              <w:t>2</w:t>
            </w:r>
          </w:p>
        </w:tc>
        <w:tc>
          <w:tcPr>
            <w:tcW w:w="10100" w:type="dxa"/>
            <w:vAlign w:val="bottom"/>
            <w:gridSpan w:val="18"/>
          </w:tcPr>
          <w:p>
            <w:pPr>
              <w:ind w:left="400"/>
              <w:spacing w:after="0"/>
              <w:rPr>
                <w:sz w:val="20"/>
                <w:szCs w:val="20"/>
                <w:color w:val="auto"/>
              </w:rPr>
            </w:pPr>
            <w:r>
              <w:rPr>
                <w:rFonts w:ascii="Times New Roman" w:cs="Times New Roman" w:eastAsia="Times New Roman" w:hAnsi="Times New Roman"/>
                <w:sz w:val="13"/>
                <w:szCs w:val="13"/>
                <w:color w:val="0000EE"/>
              </w:rPr>
              <w:t>Form of Floating Rate Management Agreement with Capital Containers Ship Management Corp.</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80" w:type="dxa"/>
            <w:vAlign w:val="bottom"/>
          </w:tcPr>
          <w:p>
            <w:pPr>
              <w:spacing w:after="0"/>
              <w:rPr>
                <w:sz w:val="24"/>
                <w:szCs w:val="24"/>
                <w:color w:val="auto"/>
              </w:rPr>
            </w:pPr>
          </w:p>
        </w:tc>
        <w:tc>
          <w:tcPr>
            <w:tcW w:w="160" w:type="dxa"/>
            <w:vAlign w:val="bottom"/>
            <w:tcBorders>
              <w:top w:val="single" w:sz="8" w:color="0000EE"/>
              <w:bottom w:val="single" w:sz="8" w:color="0000EE"/>
            </w:tcBorders>
          </w:tcPr>
          <w:p>
            <w:pPr>
              <w:jc w:val="right"/>
              <w:spacing w:after="0"/>
              <w:rPr>
                <w:rFonts w:ascii="Times New Roman" w:cs="Times New Roman" w:eastAsia="Times New Roman" w:hAnsi="Times New Roman"/>
                <w:sz w:val="13"/>
                <w:szCs w:val="13"/>
                <w:color w:val="0000EE"/>
                <w:w w:val="85"/>
              </w:rPr>
            </w:pPr>
            <w:hyperlink r:id="rId164">
              <w:r>
                <w:rPr>
                  <w:rFonts w:ascii="Times New Roman" w:cs="Times New Roman" w:eastAsia="Times New Roman" w:hAnsi="Times New Roman"/>
                  <w:sz w:val="13"/>
                  <w:szCs w:val="13"/>
                  <w:color w:val="0000EE"/>
                  <w:w w:val="85"/>
                </w:rPr>
                <w:t>4.</w:t>
              </w:r>
              <w:r>
                <w:rPr>
                  <w:rFonts w:ascii="Times New Roman" w:cs="Times New Roman" w:eastAsia="Times New Roman" w:hAnsi="Times New Roman"/>
                  <w:sz w:val="13"/>
                  <w:szCs w:val="13"/>
                  <w:u w:val="single" w:color="auto"/>
                  <w:color w:val="0000EE"/>
                  <w:w w:val="85"/>
                </w:rPr>
                <w:t>3</w:t>
              </w:r>
            </w:hyperlink>
          </w:p>
        </w:tc>
        <w:tc>
          <w:tcPr>
            <w:tcW w:w="400" w:type="dxa"/>
            <w:vAlign w:val="bottom"/>
            <w:vMerge w:val="restart"/>
          </w:tcPr>
          <w:p>
            <w:pPr>
              <w:spacing w:after="0"/>
              <w:rPr>
                <w:sz w:val="24"/>
                <w:szCs w:val="24"/>
                <w:color w:val="auto"/>
              </w:rPr>
            </w:pPr>
          </w:p>
        </w:tc>
        <w:tc>
          <w:tcPr>
            <w:tcW w:w="4800" w:type="dxa"/>
            <w:vAlign w:val="bottom"/>
            <w:tcBorders>
              <w:top w:val="single" w:sz="8" w:color="0000EE"/>
              <w:bottom w:val="single" w:sz="8" w:color="0000EE"/>
            </w:tcBorders>
            <w:gridSpan w:val="12"/>
            <w:vMerge w:val="restart"/>
          </w:tcPr>
          <w:p>
            <w:pPr>
              <w:spacing w:after="0"/>
              <w:rPr>
                <w:rFonts w:ascii="Times New Roman" w:cs="Times New Roman" w:eastAsia="Times New Roman" w:hAnsi="Times New Roman"/>
                <w:sz w:val="13"/>
                <w:szCs w:val="13"/>
                <w:color w:val="0000EE"/>
              </w:rPr>
            </w:pPr>
            <w:hyperlink r:id="rId164">
              <w:r>
                <w:rPr>
                  <w:rFonts w:ascii="Times New Roman" w:cs="Times New Roman" w:eastAsia="Times New Roman" w:hAnsi="Times New Roman"/>
                  <w:sz w:val="13"/>
                  <w:szCs w:val="13"/>
                  <w:color w:val="0000EE"/>
                </w:rPr>
                <w:t>Form of Floating Rate Management Agreement with Capital Gas Ship Management Corp.</w:t>
              </w:r>
            </w:hyperlink>
          </w:p>
        </w:tc>
        <w:tc>
          <w:tcPr>
            <w:tcW w:w="14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11"/>
                <w:szCs w:val="11"/>
                <w:color w:val="0000EE"/>
                <w:w w:val="93"/>
              </w:rPr>
              <w:t>(2)</w:t>
            </w:r>
          </w:p>
        </w:tc>
        <w:tc>
          <w:tcPr>
            <w:tcW w:w="240" w:type="dxa"/>
            <w:vAlign w:val="bottom"/>
            <w:tcBorders>
              <w:top w:val="single" w:sz="8" w:color="0000EE"/>
              <w:bottom w:val="single" w:sz="8" w:color="0000EE"/>
            </w:tcBorders>
            <w:vMerge w:val="restart"/>
          </w:tcPr>
          <w:p>
            <w:pPr>
              <w:spacing w:after="0"/>
              <w:rPr>
                <w:sz w:val="24"/>
                <w:szCs w:val="24"/>
                <w:color w:val="auto"/>
              </w:rPr>
            </w:pPr>
          </w:p>
        </w:tc>
        <w:tc>
          <w:tcPr>
            <w:tcW w:w="78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3620" w:type="dxa"/>
            <w:vAlign w:val="bottom"/>
            <w:vMerge w:val="restart"/>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4800" w:type="dxa"/>
            <w:vAlign w:val="bottom"/>
            <w:tcBorders>
              <w:bottom w:val="single" w:sz="8" w:color="0000EE"/>
            </w:tcBorders>
            <w:gridSpan w:val="1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620" w:type="dxa"/>
            <w:vAlign w:val="bottom"/>
            <w:vMerge w:val="continu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80" w:type="dxa"/>
            <w:vAlign w:val="bottom"/>
          </w:tcPr>
          <w:p>
            <w:pPr>
              <w:spacing w:after="0"/>
              <w:rPr>
                <w:sz w:val="22"/>
                <w:szCs w:val="22"/>
                <w:color w:val="auto"/>
              </w:rPr>
            </w:pPr>
          </w:p>
        </w:tc>
        <w:tc>
          <w:tcPr>
            <w:tcW w:w="160" w:type="dxa"/>
            <w:vAlign w:val="bottom"/>
            <w:vMerge w:val="restart"/>
          </w:tcPr>
          <w:p>
            <w:pPr>
              <w:jc w:val="right"/>
              <w:spacing w:after="0"/>
              <w:rPr>
                <w:rFonts w:ascii="Times New Roman" w:cs="Times New Roman" w:eastAsia="Times New Roman" w:hAnsi="Times New Roman"/>
                <w:sz w:val="13"/>
                <w:szCs w:val="13"/>
                <w:color w:val="0000EE"/>
                <w:w w:val="85"/>
              </w:rPr>
            </w:pPr>
            <w:hyperlink r:id="rId165">
              <w:r>
                <w:rPr>
                  <w:rFonts w:ascii="Times New Roman" w:cs="Times New Roman" w:eastAsia="Times New Roman" w:hAnsi="Times New Roman"/>
                  <w:sz w:val="13"/>
                  <w:szCs w:val="13"/>
                  <w:color w:val="0000EE"/>
                  <w:w w:val="85"/>
                </w:rPr>
                <w:t>4.</w:t>
              </w:r>
              <w:r>
                <w:rPr>
                  <w:rFonts w:ascii="Times New Roman" w:cs="Times New Roman" w:eastAsia="Times New Roman" w:hAnsi="Times New Roman"/>
                  <w:sz w:val="13"/>
                  <w:szCs w:val="13"/>
                  <w:u w:val="single" w:color="auto"/>
                  <w:color w:val="0000EE"/>
                  <w:w w:val="85"/>
                </w:rPr>
                <w:t>4</w:t>
              </w:r>
            </w:hyperlink>
          </w:p>
        </w:tc>
        <w:tc>
          <w:tcPr>
            <w:tcW w:w="400" w:type="dxa"/>
            <w:vAlign w:val="bottom"/>
            <w:vMerge w:val="restart"/>
          </w:tcPr>
          <w:p>
            <w:pPr>
              <w:spacing w:after="0"/>
              <w:rPr>
                <w:sz w:val="22"/>
                <w:szCs w:val="22"/>
                <w:color w:val="auto"/>
              </w:rPr>
            </w:pPr>
          </w:p>
        </w:tc>
        <w:tc>
          <w:tcPr>
            <w:tcW w:w="3620" w:type="dxa"/>
            <w:vAlign w:val="bottom"/>
            <w:gridSpan w:val="7"/>
            <w:vMerge w:val="restart"/>
          </w:tcPr>
          <w:p>
            <w:pPr>
              <w:spacing w:after="0"/>
              <w:rPr>
                <w:rFonts w:ascii="Times New Roman" w:cs="Times New Roman" w:eastAsia="Times New Roman" w:hAnsi="Times New Roman"/>
                <w:sz w:val="13"/>
                <w:szCs w:val="13"/>
                <w:color w:val="0000EE"/>
              </w:rPr>
            </w:pPr>
            <w:hyperlink r:id="rId165">
              <w:r>
                <w:rPr>
                  <w:rFonts w:ascii="Times New Roman" w:cs="Times New Roman" w:eastAsia="Times New Roman" w:hAnsi="Times New Roman"/>
                  <w:sz w:val="13"/>
                  <w:szCs w:val="13"/>
                  <w:color w:val="0000EE"/>
                </w:rPr>
                <w:t>Administrative Services Agreement with Capital Ship Management</w:t>
              </w:r>
            </w:hyperlink>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9"/>
                <w:szCs w:val="9"/>
                <w:color w:val="0000EE"/>
                <w:w w:val="75"/>
              </w:rPr>
              <w:t>(4)</w:t>
            </w:r>
          </w:p>
        </w:tc>
        <w:tc>
          <w:tcPr>
            <w:tcW w:w="2240" w:type="dxa"/>
            <w:vAlign w:val="bottom"/>
            <w:gridSpan w:val="7"/>
            <w:vMerge w:val="restart"/>
          </w:tcPr>
          <w:p>
            <w:pPr>
              <w:spacing w:after="0"/>
              <w:rPr>
                <w:sz w:val="22"/>
                <w:szCs w:val="22"/>
                <w:color w:val="auto"/>
              </w:rPr>
            </w:pPr>
          </w:p>
        </w:tc>
        <w:tc>
          <w:tcPr>
            <w:tcW w:w="120" w:type="dxa"/>
            <w:vAlign w:val="bottom"/>
          </w:tcPr>
          <w:p>
            <w:pPr>
              <w:spacing w:after="0"/>
              <w:rPr>
                <w:sz w:val="22"/>
                <w:szCs w:val="22"/>
                <w:color w:val="auto"/>
              </w:rPr>
            </w:pPr>
          </w:p>
        </w:tc>
        <w:tc>
          <w:tcPr>
            <w:tcW w:w="3620" w:type="dxa"/>
            <w:vAlign w:val="bottom"/>
            <w:vMerge w:val="restart"/>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80" w:type="dxa"/>
            <w:vAlign w:val="bottom"/>
            <w:vMerge w:val="restart"/>
          </w:tcPr>
          <w:p>
            <w:pPr>
              <w:spacing w:after="0" w:line="20" w:lineRule="exact"/>
              <w:rPr>
                <w:sz w:val="1"/>
                <w:szCs w:val="1"/>
                <w:color w:val="auto"/>
              </w:rPr>
            </w:pPr>
          </w:p>
        </w:tc>
        <w:tc>
          <w:tcPr>
            <w:tcW w:w="160" w:type="dxa"/>
            <w:vAlign w:val="bottom"/>
            <w:tcBorders>
              <w:bottom w:val="single" w:sz="8" w:color="0000EE"/>
            </w:tcBorders>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3620" w:type="dxa"/>
            <w:vAlign w:val="bottom"/>
            <w:gridSpan w:val="7"/>
            <w:vMerge w:val="continu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40" w:type="dxa"/>
            <w:vAlign w:val="bottom"/>
            <w:gridSpan w:val="7"/>
            <w:vMerge w:val="continue"/>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0000EE"/>
                <w:w w:val="77"/>
              </w:rPr>
              <w:t>(5)</w:t>
            </w:r>
          </w:p>
        </w:tc>
        <w:tc>
          <w:tcPr>
            <w:tcW w:w="3620" w:type="dxa"/>
            <w:vAlign w:val="bottom"/>
            <w:vMerge w:val="continu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3620" w:type="dxa"/>
            <w:vAlign w:val="bottom"/>
            <w:tcBorders>
              <w:bottom w:val="single" w:sz="8" w:color="0000EE"/>
            </w:tcBorders>
            <w:gridSpan w:val="7"/>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240" w:type="dxa"/>
            <w:vAlign w:val="bottom"/>
            <w:gridSpan w:val="7"/>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620" w:type="dxa"/>
            <w:vAlign w:val="bottom"/>
            <w:vMerge w:val="continu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80" w:type="dxa"/>
            <w:vAlign w:val="bottom"/>
          </w:tcPr>
          <w:p>
            <w:pPr>
              <w:spacing w:after="0"/>
              <w:rPr>
                <w:sz w:val="21"/>
                <w:szCs w:val="21"/>
                <w:color w:val="auto"/>
              </w:rPr>
            </w:pPr>
          </w:p>
        </w:tc>
        <w:tc>
          <w:tcPr>
            <w:tcW w:w="160" w:type="dxa"/>
            <w:vAlign w:val="bottom"/>
            <w:vMerge w:val="restart"/>
          </w:tcPr>
          <w:p>
            <w:pPr>
              <w:jc w:val="right"/>
              <w:spacing w:after="0"/>
              <w:rPr>
                <w:rFonts w:ascii="Times New Roman" w:cs="Times New Roman" w:eastAsia="Times New Roman" w:hAnsi="Times New Roman"/>
                <w:sz w:val="13"/>
                <w:szCs w:val="13"/>
                <w:color w:val="0000EE"/>
                <w:w w:val="85"/>
              </w:rPr>
            </w:pPr>
            <w:hyperlink r:id="rId166">
              <w:r>
                <w:rPr>
                  <w:rFonts w:ascii="Times New Roman" w:cs="Times New Roman" w:eastAsia="Times New Roman" w:hAnsi="Times New Roman"/>
                  <w:sz w:val="13"/>
                  <w:szCs w:val="13"/>
                  <w:color w:val="0000EE"/>
                  <w:w w:val="85"/>
                </w:rPr>
                <w:t>4.</w:t>
              </w:r>
              <w:r>
                <w:rPr>
                  <w:rFonts w:ascii="Times New Roman" w:cs="Times New Roman" w:eastAsia="Times New Roman" w:hAnsi="Times New Roman"/>
                  <w:sz w:val="13"/>
                  <w:szCs w:val="13"/>
                  <w:u w:val="single" w:color="auto"/>
                  <w:color w:val="0000EE"/>
                  <w:w w:val="85"/>
                </w:rPr>
                <w:t>5</w:t>
              </w:r>
            </w:hyperlink>
          </w:p>
        </w:tc>
        <w:tc>
          <w:tcPr>
            <w:tcW w:w="400" w:type="dxa"/>
            <w:vAlign w:val="bottom"/>
            <w:vMerge w:val="restart"/>
          </w:tcPr>
          <w:p>
            <w:pPr>
              <w:spacing w:after="0"/>
              <w:rPr>
                <w:sz w:val="21"/>
                <w:szCs w:val="21"/>
                <w:color w:val="auto"/>
              </w:rPr>
            </w:pPr>
          </w:p>
        </w:tc>
        <w:tc>
          <w:tcPr>
            <w:tcW w:w="5960" w:type="dxa"/>
            <w:vAlign w:val="bottom"/>
            <w:gridSpan w:val="15"/>
            <w:vMerge w:val="restart"/>
          </w:tcPr>
          <w:p>
            <w:pPr>
              <w:spacing w:after="0"/>
              <w:rPr>
                <w:rFonts w:ascii="Times New Roman" w:cs="Times New Roman" w:eastAsia="Times New Roman" w:hAnsi="Times New Roman"/>
                <w:sz w:val="13"/>
                <w:szCs w:val="13"/>
                <w:color w:val="0000EE"/>
              </w:rPr>
            </w:pPr>
            <w:hyperlink r:id="rId166">
              <w:r>
                <w:rPr>
                  <w:rFonts w:ascii="Times New Roman" w:cs="Times New Roman" w:eastAsia="Times New Roman" w:hAnsi="Times New Roman"/>
                  <w:sz w:val="13"/>
                  <w:szCs w:val="13"/>
                  <w:color w:val="0000EE"/>
                </w:rPr>
                <w:t>Amendment 1 to Administrative Services Agreement with Capital Ship Management Corp., dated April 2, 2012</w:t>
              </w:r>
            </w:hyperlink>
          </w:p>
        </w:tc>
        <w:tc>
          <w:tcPr>
            <w:tcW w:w="120" w:type="dxa"/>
            <w:vAlign w:val="bottom"/>
            <w:tcBorders>
              <w:bottom w:val="single" w:sz="8" w:color="0000EE"/>
            </w:tcBorders>
            <w:vMerge w:val="continue"/>
          </w:tcPr>
          <w:p>
            <w:pPr>
              <w:spacing w:after="0"/>
              <w:rPr>
                <w:sz w:val="21"/>
                <w:szCs w:val="21"/>
                <w:color w:val="auto"/>
              </w:rPr>
            </w:pPr>
          </w:p>
        </w:tc>
        <w:tc>
          <w:tcPr>
            <w:tcW w:w="3620" w:type="dxa"/>
            <w:vAlign w:val="bottom"/>
            <w:vMerge w:val="restart"/>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80" w:type="dxa"/>
            <w:vAlign w:val="bottom"/>
            <w:vMerge w:val="restart"/>
          </w:tcPr>
          <w:p>
            <w:pPr>
              <w:spacing w:after="0" w:line="20" w:lineRule="exact"/>
              <w:rPr>
                <w:sz w:val="1"/>
                <w:szCs w:val="1"/>
                <w:color w:val="auto"/>
              </w:rPr>
            </w:pPr>
          </w:p>
        </w:tc>
        <w:tc>
          <w:tcPr>
            <w:tcW w:w="160" w:type="dxa"/>
            <w:vAlign w:val="bottom"/>
            <w:tcBorders>
              <w:bottom w:val="single" w:sz="8" w:color="0000EE"/>
            </w:tcBorders>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5960" w:type="dxa"/>
            <w:vAlign w:val="bottom"/>
            <w:gridSpan w:val="15"/>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20" w:type="dxa"/>
            <w:vAlign w:val="bottom"/>
            <w:vMerge w:val="continu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5960" w:type="dxa"/>
            <w:vAlign w:val="bottom"/>
            <w:tcBorders>
              <w:bottom w:val="single" w:sz="8" w:color="0000EE"/>
            </w:tcBorders>
            <w:gridSpan w:val="15"/>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620" w:type="dxa"/>
            <w:vAlign w:val="bottom"/>
            <w:vMerge w:val="continu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80" w:type="dxa"/>
            <w:vAlign w:val="bottom"/>
            <w:gridSpan w:val="15"/>
          </w:tcPr>
          <w:p>
            <w:pPr>
              <w:jc w:val="right"/>
              <w:ind w:right="40"/>
              <w:spacing w:after="0"/>
              <w:rPr>
                <w:sz w:val="20"/>
                <w:szCs w:val="20"/>
                <w:color w:val="auto"/>
              </w:rPr>
            </w:pPr>
            <w:r>
              <w:rPr>
                <w:rFonts w:ascii="Times New Roman" w:cs="Times New Roman" w:eastAsia="Times New Roman" w:hAnsi="Times New Roman"/>
                <w:sz w:val="13"/>
                <w:szCs w:val="13"/>
                <w:color w:val="auto"/>
              </w:rPr>
              <w:t>138</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9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98"/>
              </w:rPr>
              <w:t>Table of Contents</w:t>
            </w:r>
          </w:p>
        </w:tc>
        <w:tc>
          <w:tcPr>
            <w:tcW w:w="0" w:type="dxa"/>
            <w:vAlign w:val="bottom"/>
          </w:tcPr>
          <w:p>
            <w:pPr>
              <w:spacing w:after="0"/>
              <w:rPr>
                <w:sz w:val="1"/>
                <w:szCs w:val="1"/>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00" w:top="624" w:right="319" w:bottom="144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0" w:type="dxa"/>
            <w:vAlign w:val="bottom"/>
          </w:tcPr>
          <w:p>
            <w:pPr>
              <w:spacing w:after="0"/>
              <w:rPr>
                <w:sz w:val="13"/>
                <w:szCs w:val="13"/>
                <w:color w:val="auto"/>
              </w:rPr>
            </w:pPr>
          </w:p>
        </w:tc>
        <w:tc>
          <w:tcPr>
            <w:tcW w:w="160" w:type="dxa"/>
            <w:vAlign w:val="bottom"/>
            <w:vMerge w:val="restart"/>
          </w:tcPr>
          <w:p>
            <w:pPr>
              <w:jc w:val="right"/>
              <w:spacing w:after="0"/>
              <w:rPr>
                <w:rFonts w:ascii="Times New Roman" w:cs="Times New Roman" w:eastAsia="Times New Roman" w:hAnsi="Times New Roman"/>
                <w:sz w:val="13"/>
                <w:szCs w:val="13"/>
                <w:color w:val="0000EE"/>
                <w:w w:val="85"/>
              </w:rPr>
            </w:pPr>
            <w:hyperlink r:id="rId167">
              <w:r>
                <w:rPr>
                  <w:rFonts w:ascii="Times New Roman" w:cs="Times New Roman" w:eastAsia="Times New Roman" w:hAnsi="Times New Roman"/>
                  <w:sz w:val="13"/>
                  <w:szCs w:val="13"/>
                  <w:color w:val="0000EE"/>
                  <w:w w:val="85"/>
                </w:rPr>
                <w:t>4.</w:t>
              </w:r>
              <w:r>
                <w:rPr>
                  <w:rFonts w:ascii="Times New Roman" w:cs="Times New Roman" w:eastAsia="Times New Roman" w:hAnsi="Times New Roman"/>
                  <w:sz w:val="13"/>
                  <w:szCs w:val="13"/>
                  <w:u w:val="single" w:color="auto"/>
                  <w:color w:val="0000EE"/>
                  <w:w w:val="85"/>
                </w:rPr>
                <w:t>6</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0" w:type="dxa"/>
            <w:vAlign w:val="bottom"/>
            <w:gridSpan w:val="24"/>
            <w:vMerge w:val="restart"/>
          </w:tcPr>
          <w:p>
            <w:pPr>
              <w:spacing w:after="0"/>
              <w:rPr>
                <w:rFonts w:ascii="Times New Roman" w:cs="Times New Roman" w:eastAsia="Times New Roman" w:hAnsi="Times New Roman"/>
                <w:sz w:val="13"/>
                <w:szCs w:val="13"/>
                <w:color w:val="0000EE"/>
              </w:rPr>
            </w:pPr>
            <w:hyperlink r:id="rId167">
              <w:r>
                <w:rPr>
                  <w:rFonts w:ascii="Times New Roman" w:cs="Times New Roman" w:eastAsia="Times New Roman" w:hAnsi="Times New Roman"/>
                  <w:sz w:val="13"/>
                  <w:szCs w:val="13"/>
                  <w:color w:val="0000EE"/>
                </w:rPr>
                <w:t>IT Agreement, dated April 3, 2007, by and between Capital Ship Management Corp. and Capital Clean Energy Carriers Corp. (formerly known as Capital Product Partners L.P.)</w:t>
              </w:r>
            </w:hyperlink>
          </w:p>
        </w:tc>
        <w:tc>
          <w:tcPr>
            <w:tcW w:w="1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1"/>
                <w:szCs w:val="11"/>
                <w:color w:val="0000EE"/>
                <w:w w:val="93"/>
              </w:rPr>
              <w:t>(6)</w:t>
            </w:r>
          </w:p>
        </w:tc>
        <w:tc>
          <w:tcPr>
            <w:tcW w:w="16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80" w:type="dxa"/>
            <w:vAlign w:val="bottom"/>
            <w:vMerge w:val="restart"/>
          </w:tcPr>
          <w:p>
            <w:pPr>
              <w:spacing w:after="0" w:line="20" w:lineRule="exact"/>
              <w:rPr>
                <w:sz w:val="1"/>
                <w:szCs w:val="1"/>
                <w:color w:val="auto"/>
              </w:rPr>
            </w:pPr>
          </w:p>
        </w:tc>
        <w:tc>
          <w:tcPr>
            <w:tcW w:w="160" w:type="dxa"/>
            <w:vAlign w:val="bottom"/>
            <w:tcBorders>
              <w:bottom w:val="single" w:sz="8" w:color="0000EE"/>
            </w:tcBorders>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0" w:type="dxa"/>
            <w:vAlign w:val="bottom"/>
            <w:gridSpan w:val="24"/>
            <w:vMerge w:val="continue"/>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0" w:type="dxa"/>
            <w:vAlign w:val="bottom"/>
            <w:tcBorders>
              <w:bottom w:val="single" w:sz="8" w:color="0000EE"/>
            </w:tcBorders>
            <w:gridSpan w:val="24"/>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0" w:type="dxa"/>
            <w:vAlign w:val="bottom"/>
          </w:tcPr>
          <w:p>
            <w:pPr>
              <w:spacing w:after="0"/>
              <w:rPr>
                <w:sz w:val="21"/>
                <w:szCs w:val="21"/>
                <w:color w:val="auto"/>
              </w:rPr>
            </w:pPr>
          </w:p>
        </w:tc>
        <w:tc>
          <w:tcPr>
            <w:tcW w:w="160" w:type="dxa"/>
            <w:vAlign w:val="bottom"/>
            <w:vMerge w:val="restart"/>
          </w:tcPr>
          <w:p>
            <w:pPr>
              <w:jc w:val="right"/>
              <w:spacing w:after="0"/>
              <w:rPr>
                <w:rFonts w:ascii="Times New Roman" w:cs="Times New Roman" w:eastAsia="Times New Roman" w:hAnsi="Times New Roman"/>
                <w:sz w:val="13"/>
                <w:szCs w:val="13"/>
                <w:color w:val="0000EE"/>
                <w:w w:val="85"/>
              </w:rPr>
            </w:pPr>
            <w:hyperlink r:id="rId168">
              <w:r>
                <w:rPr>
                  <w:rFonts w:ascii="Times New Roman" w:cs="Times New Roman" w:eastAsia="Times New Roman" w:hAnsi="Times New Roman"/>
                  <w:sz w:val="13"/>
                  <w:szCs w:val="13"/>
                  <w:color w:val="0000EE"/>
                  <w:w w:val="85"/>
                </w:rPr>
                <w:t>4.</w:t>
              </w:r>
              <w:r>
                <w:rPr>
                  <w:rFonts w:ascii="Times New Roman" w:cs="Times New Roman" w:eastAsia="Times New Roman" w:hAnsi="Times New Roman"/>
                  <w:sz w:val="13"/>
                  <w:szCs w:val="13"/>
                  <w:u w:val="single" w:color="auto"/>
                  <w:color w:val="0000EE"/>
                  <w:w w:val="85"/>
                </w:rPr>
                <w:t>7</w:t>
              </w:r>
            </w:hyperlink>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40" w:type="dxa"/>
            <w:vAlign w:val="bottom"/>
            <w:gridSpan w:val="10"/>
            <w:vMerge w:val="restart"/>
          </w:tcPr>
          <w:p>
            <w:pPr>
              <w:spacing w:after="0"/>
              <w:rPr>
                <w:rFonts w:ascii="Times New Roman" w:cs="Times New Roman" w:eastAsia="Times New Roman" w:hAnsi="Times New Roman"/>
                <w:sz w:val="13"/>
                <w:szCs w:val="13"/>
                <w:color w:val="0000EE"/>
              </w:rPr>
            </w:pPr>
            <w:hyperlink r:id="rId168">
              <w:r>
                <w:rPr>
                  <w:rFonts w:ascii="Times New Roman" w:cs="Times New Roman" w:eastAsia="Times New Roman" w:hAnsi="Times New Roman"/>
                  <w:sz w:val="13"/>
                  <w:szCs w:val="13"/>
                  <w:color w:val="0000EE"/>
                </w:rPr>
                <w:t>Addendum No. 1 to IT Agreement, dated April 2, 2012</w:t>
              </w:r>
            </w:hyperlink>
          </w:p>
        </w:tc>
        <w:tc>
          <w:tcPr>
            <w:tcW w:w="1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1"/>
                <w:szCs w:val="11"/>
                <w:color w:val="0000EE"/>
                <w:w w:val="93"/>
              </w:rPr>
              <w:t>(6)</w:t>
            </w:r>
          </w:p>
        </w:tc>
        <w:tc>
          <w:tcPr>
            <w:tcW w:w="60" w:type="dxa"/>
            <w:vAlign w:val="bottom"/>
            <w:vMerge w:val="restart"/>
          </w:tcPr>
          <w:p>
            <w:pPr>
              <w:spacing w:after="0"/>
              <w:rPr>
                <w:sz w:val="21"/>
                <w:szCs w:val="21"/>
                <w:color w:val="auto"/>
              </w:rPr>
            </w:pPr>
          </w:p>
        </w:tc>
        <w:tc>
          <w:tcPr>
            <w:tcW w:w="140" w:type="dxa"/>
            <w:vAlign w:val="bottom"/>
            <w:vMerge w:val="restart"/>
          </w:tcPr>
          <w:p>
            <w:pPr>
              <w:spacing w:after="0"/>
              <w:rPr>
                <w:sz w:val="21"/>
                <w:szCs w:val="21"/>
                <w:color w:val="auto"/>
              </w:rPr>
            </w:pPr>
          </w:p>
        </w:tc>
        <w:tc>
          <w:tcPr>
            <w:tcW w:w="160" w:type="dxa"/>
            <w:vAlign w:val="bottom"/>
            <w:vMerge w:val="restart"/>
          </w:tcPr>
          <w:p>
            <w:pPr>
              <w:spacing w:after="0"/>
              <w:rPr>
                <w:sz w:val="21"/>
                <w:szCs w:val="21"/>
                <w:color w:val="auto"/>
              </w:rPr>
            </w:pPr>
          </w:p>
        </w:tc>
        <w:tc>
          <w:tcPr>
            <w:tcW w:w="560" w:type="dxa"/>
            <w:vAlign w:val="bottom"/>
            <w:vMerge w:val="restart"/>
          </w:tcPr>
          <w:p>
            <w:pPr>
              <w:spacing w:after="0"/>
              <w:rPr>
                <w:sz w:val="21"/>
                <w:szCs w:val="21"/>
                <w:color w:val="auto"/>
              </w:rPr>
            </w:pPr>
          </w:p>
        </w:tc>
        <w:tc>
          <w:tcPr>
            <w:tcW w:w="140" w:type="dxa"/>
            <w:vAlign w:val="bottom"/>
            <w:vMerge w:val="restart"/>
          </w:tcPr>
          <w:p>
            <w:pPr>
              <w:spacing w:after="0"/>
              <w:rPr>
                <w:sz w:val="21"/>
                <w:szCs w:val="21"/>
                <w:color w:val="auto"/>
              </w:rPr>
            </w:pPr>
          </w:p>
        </w:tc>
        <w:tc>
          <w:tcPr>
            <w:tcW w:w="1400" w:type="dxa"/>
            <w:vAlign w:val="bottom"/>
            <w:vMerge w:val="restart"/>
          </w:tcPr>
          <w:p>
            <w:pPr>
              <w:spacing w:after="0"/>
              <w:rPr>
                <w:sz w:val="21"/>
                <w:szCs w:val="21"/>
                <w:color w:val="auto"/>
              </w:rPr>
            </w:pPr>
          </w:p>
        </w:tc>
        <w:tc>
          <w:tcPr>
            <w:tcW w:w="900" w:type="dxa"/>
            <w:vAlign w:val="bottom"/>
            <w:vMerge w:val="restart"/>
          </w:tcPr>
          <w:p>
            <w:pPr>
              <w:spacing w:after="0"/>
              <w:rPr>
                <w:sz w:val="21"/>
                <w:szCs w:val="21"/>
                <w:color w:val="auto"/>
              </w:rPr>
            </w:pPr>
          </w:p>
        </w:tc>
        <w:tc>
          <w:tcPr>
            <w:tcW w:w="140" w:type="dxa"/>
            <w:vAlign w:val="bottom"/>
            <w:vMerge w:val="restart"/>
          </w:tcPr>
          <w:p>
            <w:pPr>
              <w:spacing w:after="0"/>
              <w:rPr>
                <w:sz w:val="21"/>
                <w:szCs w:val="21"/>
                <w:color w:val="auto"/>
              </w:rPr>
            </w:pPr>
          </w:p>
        </w:tc>
        <w:tc>
          <w:tcPr>
            <w:tcW w:w="360" w:type="dxa"/>
            <w:vAlign w:val="bottom"/>
            <w:vMerge w:val="restart"/>
          </w:tcPr>
          <w:p>
            <w:pPr>
              <w:spacing w:after="0"/>
              <w:rPr>
                <w:sz w:val="21"/>
                <w:szCs w:val="21"/>
                <w:color w:val="auto"/>
              </w:rPr>
            </w:pPr>
          </w:p>
        </w:tc>
        <w:tc>
          <w:tcPr>
            <w:tcW w:w="40" w:type="dxa"/>
            <w:vAlign w:val="bottom"/>
            <w:vMerge w:val="restart"/>
          </w:tcPr>
          <w:p>
            <w:pPr>
              <w:spacing w:after="0"/>
              <w:rPr>
                <w:sz w:val="21"/>
                <w:szCs w:val="21"/>
                <w:color w:val="auto"/>
              </w:rPr>
            </w:pPr>
          </w:p>
        </w:tc>
        <w:tc>
          <w:tcPr>
            <w:tcW w:w="80" w:type="dxa"/>
            <w:vAlign w:val="bottom"/>
            <w:vMerge w:val="restart"/>
          </w:tcPr>
          <w:p>
            <w:pPr>
              <w:spacing w:after="0"/>
              <w:rPr>
                <w:sz w:val="21"/>
                <w:szCs w:val="21"/>
                <w:color w:val="auto"/>
              </w:rPr>
            </w:pPr>
          </w:p>
        </w:tc>
        <w:tc>
          <w:tcPr>
            <w:tcW w:w="40" w:type="dxa"/>
            <w:vAlign w:val="bottom"/>
            <w:vMerge w:val="restart"/>
          </w:tcPr>
          <w:p>
            <w:pPr>
              <w:spacing w:after="0"/>
              <w:rPr>
                <w:sz w:val="21"/>
                <w:szCs w:val="21"/>
                <w:color w:val="auto"/>
              </w:rPr>
            </w:pPr>
          </w:p>
        </w:tc>
        <w:tc>
          <w:tcPr>
            <w:tcW w:w="2600" w:type="dxa"/>
            <w:vAlign w:val="bottom"/>
            <w:gridSpan w:val="3"/>
            <w:vMerge w:val="restart"/>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80" w:type="dxa"/>
            <w:vAlign w:val="bottom"/>
            <w:vMerge w:val="restart"/>
          </w:tcPr>
          <w:p>
            <w:pPr>
              <w:spacing w:after="0" w:line="20" w:lineRule="exact"/>
              <w:rPr>
                <w:sz w:val="1"/>
                <w:szCs w:val="1"/>
                <w:color w:val="auto"/>
              </w:rPr>
            </w:pPr>
          </w:p>
        </w:tc>
        <w:tc>
          <w:tcPr>
            <w:tcW w:w="160" w:type="dxa"/>
            <w:vAlign w:val="bottom"/>
            <w:tcBorders>
              <w:bottom w:val="single" w:sz="8" w:color="0000EE"/>
            </w:tcBorders>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40" w:type="dxa"/>
            <w:vAlign w:val="bottom"/>
            <w:gridSpan w:val="10"/>
            <w:vMerge w:val="continue"/>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60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40" w:type="dxa"/>
            <w:vAlign w:val="bottom"/>
            <w:tcBorders>
              <w:bottom w:val="single" w:sz="8" w:color="0000EE"/>
            </w:tcBorders>
            <w:gridSpan w:val="10"/>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60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0" w:type="dxa"/>
            <w:vAlign w:val="bottom"/>
          </w:tcPr>
          <w:p>
            <w:pPr>
              <w:spacing w:after="0"/>
              <w:rPr>
                <w:sz w:val="21"/>
                <w:szCs w:val="21"/>
                <w:color w:val="auto"/>
              </w:rPr>
            </w:pPr>
          </w:p>
        </w:tc>
        <w:tc>
          <w:tcPr>
            <w:tcW w:w="160" w:type="dxa"/>
            <w:vAlign w:val="bottom"/>
            <w:vMerge w:val="restart"/>
          </w:tcPr>
          <w:p>
            <w:pPr>
              <w:jc w:val="right"/>
              <w:spacing w:after="0"/>
              <w:rPr>
                <w:rFonts w:ascii="Times New Roman" w:cs="Times New Roman" w:eastAsia="Times New Roman" w:hAnsi="Times New Roman"/>
                <w:sz w:val="13"/>
                <w:szCs w:val="13"/>
                <w:color w:val="0000EE"/>
                <w:w w:val="85"/>
              </w:rPr>
            </w:pPr>
            <w:hyperlink r:id="rId169">
              <w:r>
                <w:rPr>
                  <w:rFonts w:ascii="Times New Roman" w:cs="Times New Roman" w:eastAsia="Times New Roman" w:hAnsi="Times New Roman"/>
                  <w:sz w:val="13"/>
                  <w:szCs w:val="13"/>
                  <w:color w:val="0000EE"/>
                  <w:w w:val="85"/>
                </w:rPr>
                <w:t>4.</w:t>
              </w:r>
              <w:r>
                <w:rPr>
                  <w:rFonts w:ascii="Times New Roman" w:cs="Times New Roman" w:eastAsia="Times New Roman" w:hAnsi="Times New Roman"/>
                  <w:sz w:val="13"/>
                  <w:szCs w:val="13"/>
                  <w:u w:val="single" w:color="auto"/>
                  <w:color w:val="0000EE"/>
                  <w:w w:val="85"/>
                </w:rPr>
                <w:t>8</w:t>
              </w:r>
            </w:hyperlink>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40" w:type="dxa"/>
            <w:vAlign w:val="bottom"/>
            <w:gridSpan w:val="10"/>
            <w:vMerge w:val="restart"/>
          </w:tcPr>
          <w:p>
            <w:pPr>
              <w:spacing w:after="0"/>
              <w:rPr>
                <w:rFonts w:ascii="Times New Roman" w:cs="Times New Roman" w:eastAsia="Times New Roman" w:hAnsi="Times New Roman"/>
                <w:sz w:val="13"/>
                <w:szCs w:val="13"/>
                <w:color w:val="0000EE"/>
              </w:rPr>
            </w:pPr>
            <w:hyperlink r:id="rId169">
              <w:r>
                <w:rPr>
                  <w:rFonts w:ascii="Times New Roman" w:cs="Times New Roman" w:eastAsia="Times New Roman" w:hAnsi="Times New Roman"/>
                  <w:sz w:val="13"/>
                  <w:szCs w:val="13"/>
                  <w:color w:val="0000EE"/>
                </w:rPr>
                <w:t>Addendum No. 2 to IT Agreement, dated April 2, 2017</w:t>
              </w:r>
            </w:hyperlink>
          </w:p>
        </w:tc>
        <w:tc>
          <w:tcPr>
            <w:tcW w:w="1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1"/>
                <w:szCs w:val="11"/>
                <w:color w:val="0000EE"/>
                <w:w w:val="93"/>
              </w:rPr>
              <w:t>(6)</w:t>
            </w:r>
          </w:p>
        </w:tc>
        <w:tc>
          <w:tcPr>
            <w:tcW w:w="60" w:type="dxa"/>
            <w:vAlign w:val="bottom"/>
            <w:vMerge w:val="restart"/>
          </w:tcPr>
          <w:p>
            <w:pPr>
              <w:spacing w:after="0"/>
              <w:rPr>
                <w:sz w:val="21"/>
                <w:szCs w:val="21"/>
                <w:color w:val="auto"/>
              </w:rPr>
            </w:pPr>
          </w:p>
        </w:tc>
        <w:tc>
          <w:tcPr>
            <w:tcW w:w="140" w:type="dxa"/>
            <w:vAlign w:val="bottom"/>
            <w:vMerge w:val="restart"/>
          </w:tcPr>
          <w:p>
            <w:pPr>
              <w:spacing w:after="0"/>
              <w:rPr>
                <w:sz w:val="21"/>
                <w:szCs w:val="21"/>
                <w:color w:val="auto"/>
              </w:rPr>
            </w:pPr>
          </w:p>
        </w:tc>
        <w:tc>
          <w:tcPr>
            <w:tcW w:w="160" w:type="dxa"/>
            <w:vAlign w:val="bottom"/>
            <w:vMerge w:val="restart"/>
          </w:tcPr>
          <w:p>
            <w:pPr>
              <w:spacing w:after="0"/>
              <w:rPr>
                <w:sz w:val="21"/>
                <w:szCs w:val="21"/>
                <w:color w:val="auto"/>
              </w:rPr>
            </w:pPr>
          </w:p>
        </w:tc>
        <w:tc>
          <w:tcPr>
            <w:tcW w:w="560" w:type="dxa"/>
            <w:vAlign w:val="bottom"/>
            <w:vMerge w:val="restart"/>
          </w:tcPr>
          <w:p>
            <w:pPr>
              <w:spacing w:after="0"/>
              <w:rPr>
                <w:sz w:val="21"/>
                <w:szCs w:val="21"/>
                <w:color w:val="auto"/>
              </w:rPr>
            </w:pPr>
          </w:p>
        </w:tc>
        <w:tc>
          <w:tcPr>
            <w:tcW w:w="140" w:type="dxa"/>
            <w:vAlign w:val="bottom"/>
            <w:vMerge w:val="restart"/>
          </w:tcPr>
          <w:p>
            <w:pPr>
              <w:spacing w:after="0"/>
              <w:rPr>
                <w:sz w:val="21"/>
                <w:szCs w:val="21"/>
                <w:color w:val="auto"/>
              </w:rPr>
            </w:pPr>
          </w:p>
        </w:tc>
        <w:tc>
          <w:tcPr>
            <w:tcW w:w="1400" w:type="dxa"/>
            <w:vAlign w:val="bottom"/>
            <w:vMerge w:val="restart"/>
          </w:tcPr>
          <w:p>
            <w:pPr>
              <w:spacing w:after="0"/>
              <w:rPr>
                <w:sz w:val="21"/>
                <w:szCs w:val="21"/>
                <w:color w:val="auto"/>
              </w:rPr>
            </w:pPr>
          </w:p>
        </w:tc>
        <w:tc>
          <w:tcPr>
            <w:tcW w:w="900" w:type="dxa"/>
            <w:vAlign w:val="bottom"/>
            <w:vMerge w:val="restart"/>
          </w:tcPr>
          <w:p>
            <w:pPr>
              <w:spacing w:after="0"/>
              <w:rPr>
                <w:sz w:val="21"/>
                <w:szCs w:val="21"/>
                <w:color w:val="auto"/>
              </w:rPr>
            </w:pPr>
          </w:p>
        </w:tc>
        <w:tc>
          <w:tcPr>
            <w:tcW w:w="140" w:type="dxa"/>
            <w:vAlign w:val="bottom"/>
            <w:vMerge w:val="restart"/>
          </w:tcPr>
          <w:p>
            <w:pPr>
              <w:spacing w:after="0"/>
              <w:rPr>
                <w:sz w:val="21"/>
                <w:szCs w:val="21"/>
                <w:color w:val="auto"/>
              </w:rPr>
            </w:pPr>
          </w:p>
        </w:tc>
        <w:tc>
          <w:tcPr>
            <w:tcW w:w="360" w:type="dxa"/>
            <w:vAlign w:val="bottom"/>
            <w:vMerge w:val="restart"/>
          </w:tcPr>
          <w:p>
            <w:pPr>
              <w:spacing w:after="0"/>
              <w:rPr>
                <w:sz w:val="21"/>
                <w:szCs w:val="21"/>
                <w:color w:val="auto"/>
              </w:rPr>
            </w:pPr>
          </w:p>
        </w:tc>
        <w:tc>
          <w:tcPr>
            <w:tcW w:w="40" w:type="dxa"/>
            <w:vAlign w:val="bottom"/>
            <w:vMerge w:val="restart"/>
          </w:tcPr>
          <w:p>
            <w:pPr>
              <w:spacing w:after="0"/>
              <w:rPr>
                <w:sz w:val="21"/>
                <w:szCs w:val="21"/>
                <w:color w:val="auto"/>
              </w:rPr>
            </w:pPr>
          </w:p>
        </w:tc>
        <w:tc>
          <w:tcPr>
            <w:tcW w:w="80" w:type="dxa"/>
            <w:vAlign w:val="bottom"/>
            <w:vMerge w:val="restart"/>
          </w:tcPr>
          <w:p>
            <w:pPr>
              <w:spacing w:after="0"/>
              <w:rPr>
                <w:sz w:val="21"/>
                <w:szCs w:val="21"/>
                <w:color w:val="auto"/>
              </w:rPr>
            </w:pPr>
          </w:p>
        </w:tc>
        <w:tc>
          <w:tcPr>
            <w:tcW w:w="40" w:type="dxa"/>
            <w:vAlign w:val="bottom"/>
            <w:vMerge w:val="restart"/>
          </w:tcPr>
          <w:p>
            <w:pPr>
              <w:spacing w:after="0"/>
              <w:rPr>
                <w:sz w:val="21"/>
                <w:szCs w:val="21"/>
                <w:color w:val="auto"/>
              </w:rPr>
            </w:pPr>
          </w:p>
        </w:tc>
        <w:tc>
          <w:tcPr>
            <w:tcW w:w="2600" w:type="dxa"/>
            <w:vAlign w:val="bottom"/>
            <w:gridSpan w:val="3"/>
            <w:vMerge w:val="restart"/>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80" w:type="dxa"/>
            <w:vAlign w:val="bottom"/>
            <w:vMerge w:val="restart"/>
          </w:tcPr>
          <w:p>
            <w:pPr>
              <w:spacing w:after="0" w:line="20" w:lineRule="exact"/>
              <w:rPr>
                <w:sz w:val="1"/>
                <w:szCs w:val="1"/>
                <w:color w:val="auto"/>
              </w:rPr>
            </w:pPr>
          </w:p>
        </w:tc>
        <w:tc>
          <w:tcPr>
            <w:tcW w:w="160" w:type="dxa"/>
            <w:vAlign w:val="bottom"/>
            <w:tcBorders>
              <w:bottom w:val="single" w:sz="8" w:color="0000EE"/>
            </w:tcBorders>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40" w:type="dxa"/>
            <w:vAlign w:val="bottom"/>
            <w:gridSpan w:val="10"/>
            <w:vMerge w:val="continue"/>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60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40" w:type="dxa"/>
            <w:vAlign w:val="bottom"/>
            <w:tcBorders>
              <w:bottom w:val="single" w:sz="8" w:color="0000EE"/>
            </w:tcBorders>
            <w:gridSpan w:val="10"/>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60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0" w:type="dxa"/>
            <w:vAlign w:val="bottom"/>
          </w:tcPr>
          <w:p>
            <w:pPr>
              <w:spacing w:after="0"/>
              <w:rPr>
                <w:sz w:val="21"/>
                <w:szCs w:val="21"/>
                <w:color w:val="auto"/>
              </w:rPr>
            </w:pPr>
          </w:p>
        </w:tc>
        <w:tc>
          <w:tcPr>
            <w:tcW w:w="160" w:type="dxa"/>
            <w:vAlign w:val="bottom"/>
            <w:vMerge w:val="restart"/>
          </w:tcPr>
          <w:p>
            <w:pPr>
              <w:jc w:val="right"/>
              <w:spacing w:after="0"/>
              <w:rPr>
                <w:rFonts w:ascii="Times New Roman" w:cs="Times New Roman" w:eastAsia="Times New Roman" w:hAnsi="Times New Roman"/>
                <w:sz w:val="13"/>
                <w:szCs w:val="13"/>
                <w:color w:val="0000EE"/>
                <w:w w:val="85"/>
              </w:rPr>
            </w:pPr>
            <w:hyperlink r:id="rId170">
              <w:r>
                <w:rPr>
                  <w:rFonts w:ascii="Times New Roman" w:cs="Times New Roman" w:eastAsia="Times New Roman" w:hAnsi="Times New Roman"/>
                  <w:sz w:val="13"/>
                  <w:szCs w:val="13"/>
                  <w:color w:val="0000EE"/>
                  <w:w w:val="85"/>
                </w:rPr>
                <w:t>4.</w:t>
              </w:r>
              <w:r>
                <w:rPr>
                  <w:rFonts w:ascii="Times New Roman" w:cs="Times New Roman" w:eastAsia="Times New Roman" w:hAnsi="Times New Roman"/>
                  <w:sz w:val="13"/>
                  <w:szCs w:val="13"/>
                  <w:u w:val="single" w:color="auto"/>
                  <w:color w:val="0000EE"/>
                  <w:w w:val="85"/>
                </w:rPr>
                <w:t>9</w:t>
              </w:r>
            </w:hyperlink>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40" w:type="dxa"/>
            <w:vAlign w:val="bottom"/>
            <w:gridSpan w:val="10"/>
            <w:vMerge w:val="restart"/>
          </w:tcPr>
          <w:p>
            <w:pPr>
              <w:spacing w:after="0"/>
              <w:rPr>
                <w:rFonts w:ascii="Times New Roman" w:cs="Times New Roman" w:eastAsia="Times New Roman" w:hAnsi="Times New Roman"/>
                <w:sz w:val="13"/>
                <w:szCs w:val="13"/>
                <w:color w:val="0000EE"/>
              </w:rPr>
            </w:pPr>
            <w:hyperlink r:id="rId170">
              <w:r>
                <w:rPr>
                  <w:rFonts w:ascii="Times New Roman" w:cs="Times New Roman" w:eastAsia="Times New Roman" w:hAnsi="Times New Roman"/>
                  <w:sz w:val="13"/>
                  <w:szCs w:val="13"/>
                  <w:color w:val="0000EE"/>
                </w:rPr>
                <w:t>Addendum No. 3 to IT Agreement, dated April 2, 2022</w:t>
              </w:r>
            </w:hyperlink>
          </w:p>
        </w:tc>
        <w:tc>
          <w:tcPr>
            <w:tcW w:w="1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1"/>
                <w:szCs w:val="11"/>
                <w:color w:val="0000EE"/>
                <w:w w:val="93"/>
              </w:rPr>
              <w:t>(2)</w:t>
            </w:r>
          </w:p>
        </w:tc>
        <w:tc>
          <w:tcPr>
            <w:tcW w:w="60" w:type="dxa"/>
            <w:vAlign w:val="bottom"/>
            <w:vMerge w:val="restart"/>
          </w:tcPr>
          <w:p>
            <w:pPr>
              <w:spacing w:after="0"/>
              <w:rPr>
                <w:sz w:val="21"/>
                <w:szCs w:val="21"/>
                <w:color w:val="auto"/>
              </w:rPr>
            </w:pPr>
          </w:p>
        </w:tc>
        <w:tc>
          <w:tcPr>
            <w:tcW w:w="140" w:type="dxa"/>
            <w:vAlign w:val="bottom"/>
            <w:vMerge w:val="restart"/>
          </w:tcPr>
          <w:p>
            <w:pPr>
              <w:spacing w:after="0"/>
              <w:rPr>
                <w:sz w:val="21"/>
                <w:szCs w:val="21"/>
                <w:color w:val="auto"/>
              </w:rPr>
            </w:pPr>
          </w:p>
        </w:tc>
        <w:tc>
          <w:tcPr>
            <w:tcW w:w="160" w:type="dxa"/>
            <w:vAlign w:val="bottom"/>
            <w:vMerge w:val="restart"/>
          </w:tcPr>
          <w:p>
            <w:pPr>
              <w:spacing w:after="0"/>
              <w:rPr>
                <w:sz w:val="21"/>
                <w:szCs w:val="21"/>
                <w:color w:val="auto"/>
              </w:rPr>
            </w:pPr>
          </w:p>
        </w:tc>
        <w:tc>
          <w:tcPr>
            <w:tcW w:w="560" w:type="dxa"/>
            <w:vAlign w:val="bottom"/>
            <w:vMerge w:val="restart"/>
          </w:tcPr>
          <w:p>
            <w:pPr>
              <w:spacing w:after="0"/>
              <w:rPr>
                <w:sz w:val="21"/>
                <w:szCs w:val="21"/>
                <w:color w:val="auto"/>
              </w:rPr>
            </w:pPr>
          </w:p>
        </w:tc>
        <w:tc>
          <w:tcPr>
            <w:tcW w:w="140" w:type="dxa"/>
            <w:vAlign w:val="bottom"/>
            <w:vMerge w:val="restart"/>
          </w:tcPr>
          <w:p>
            <w:pPr>
              <w:spacing w:after="0"/>
              <w:rPr>
                <w:sz w:val="21"/>
                <w:szCs w:val="21"/>
                <w:color w:val="auto"/>
              </w:rPr>
            </w:pPr>
          </w:p>
        </w:tc>
        <w:tc>
          <w:tcPr>
            <w:tcW w:w="1400" w:type="dxa"/>
            <w:vAlign w:val="bottom"/>
            <w:vMerge w:val="restart"/>
          </w:tcPr>
          <w:p>
            <w:pPr>
              <w:spacing w:after="0"/>
              <w:rPr>
                <w:sz w:val="21"/>
                <w:szCs w:val="21"/>
                <w:color w:val="auto"/>
              </w:rPr>
            </w:pPr>
          </w:p>
        </w:tc>
        <w:tc>
          <w:tcPr>
            <w:tcW w:w="900" w:type="dxa"/>
            <w:vAlign w:val="bottom"/>
            <w:vMerge w:val="restart"/>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vMerge w:val="restart"/>
          </w:tcPr>
          <w:p>
            <w:pPr>
              <w:spacing w:after="0"/>
              <w:rPr>
                <w:sz w:val="21"/>
                <w:szCs w:val="21"/>
                <w:color w:val="auto"/>
              </w:rPr>
            </w:pPr>
          </w:p>
        </w:tc>
        <w:tc>
          <w:tcPr>
            <w:tcW w:w="40" w:type="dxa"/>
            <w:vAlign w:val="bottom"/>
            <w:vMerge w:val="restart"/>
          </w:tcPr>
          <w:p>
            <w:pPr>
              <w:spacing w:after="0"/>
              <w:rPr>
                <w:sz w:val="21"/>
                <w:szCs w:val="21"/>
                <w:color w:val="auto"/>
              </w:rPr>
            </w:pPr>
          </w:p>
        </w:tc>
        <w:tc>
          <w:tcPr>
            <w:tcW w:w="80" w:type="dxa"/>
            <w:vAlign w:val="bottom"/>
            <w:vMerge w:val="restart"/>
          </w:tcPr>
          <w:p>
            <w:pPr>
              <w:spacing w:after="0"/>
              <w:rPr>
                <w:sz w:val="21"/>
                <w:szCs w:val="21"/>
                <w:color w:val="auto"/>
              </w:rPr>
            </w:pPr>
          </w:p>
        </w:tc>
        <w:tc>
          <w:tcPr>
            <w:tcW w:w="40" w:type="dxa"/>
            <w:vAlign w:val="bottom"/>
            <w:vMerge w:val="restart"/>
          </w:tcPr>
          <w:p>
            <w:pPr>
              <w:spacing w:after="0"/>
              <w:rPr>
                <w:sz w:val="21"/>
                <w:szCs w:val="21"/>
                <w:color w:val="auto"/>
              </w:rPr>
            </w:pPr>
          </w:p>
        </w:tc>
        <w:tc>
          <w:tcPr>
            <w:tcW w:w="2600" w:type="dxa"/>
            <w:vAlign w:val="bottom"/>
            <w:gridSpan w:val="3"/>
            <w:vMerge w:val="restart"/>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80" w:type="dxa"/>
            <w:vAlign w:val="bottom"/>
            <w:vMerge w:val="restart"/>
          </w:tcPr>
          <w:p>
            <w:pPr>
              <w:spacing w:after="0" w:line="20" w:lineRule="exact"/>
              <w:rPr>
                <w:sz w:val="1"/>
                <w:szCs w:val="1"/>
                <w:color w:val="auto"/>
              </w:rPr>
            </w:pPr>
          </w:p>
        </w:tc>
        <w:tc>
          <w:tcPr>
            <w:tcW w:w="160" w:type="dxa"/>
            <w:vAlign w:val="bottom"/>
            <w:tcBorders>
              <w:bottom w:val="single" w:sz="8" w:color="0000EE"/>
            </w:tcBorders>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40" w:type="dxa"/>
            <w:vAlign w:val="bottom"/>
            <w:gridSpan w:val="10"/>
            <w:vMerge w:val="continue"/>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0000EE"/>
                <w:w w:val="93"/>
              </w:rPr>
              <w:t>(1)</w:t>
            </w:r>
          </w:p>
        </w:tc>
        <w:tc>
          <w:tcPr>
            <w:tcW w:w="3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60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40" w:type="dxa"/>
            <w:vAlign w:val="bottom"/>
            <w:tcBorders>
              <w:bottom w:val="single" w:sz="8" w:color="0000EE"/>
            </w:tcBorders>
            <w:gridSpan w:val="10"/>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60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80" w:type="dxa"/>
            <w:vAlign w:val="bottom"/>
          </w:tcPr>
          <w:p>
            <w:pPr>
              <w:spacing w:after="0"/>
              <w:rPr>
                <w:sz w:val="21"/>
                <w:szCs w:val="21"/>
                <w:color w:val="auto"/>
              </w:rPr>
            </w:pPr>
          </w:p>
        </w:tc>
        <w:tc>
          <w:tcPr>
            <w:tcW w:w="220" w:type="dxa"/>
            <w:vAlign w:val="bottom"/>
            <w:gridSpan w:val="2"/>
            <w:vMerge w:val="restart"/>
          </w:tcPr>
          <w:p>
            <w:pPr>
              <w:jc w:val="right"/>
              <w:spacing w:after="0"/>
              <w:rPr>
                <w:rFonts w:ascii="Times New Roman" w:cs="Times New Roman" w:eastAsia="Times New Roman" w:hAnsi="Times New Roman"/>
                <w:sz w:val="13"/>
                <w:szCs w:val="13"/>
                <w:color w:val="0000EE"/>
                <w:w w:val="87"/>
              </w:rPr>
            </w:pPr>
            <w:hyperlink r:id="rId171">
              <w:r>
                <w:rPr>
                  <w:rFonts w:ascii="Times New Roman" w:cs="Times New Roman" w:eastAsia="Times New Roman" w:hAnsi="Times New Roman"/>
                  <w:sz w:val="13"/>
                  <w:szCs w:val="13"/>
                  <w:color w:val="0000EE"/>
                  <w:w w:val="87"/>
                </w:rPr>
                <w:t>4.</w:t>
              </w:r>
              <w:r>
                <w:rPr>
                  <w:rFonts w:ascii="Times New Roman" w:cs="Times New Roman" w:eastAsia="Times New Roman" w:hAnsi="Times New Roman"/>
                  <w:sz w:val="13"/>
                  <w:szCs w:val="13"/>
                  <w:u w:val="single" w:color="auto"/>
                  <w:color w:val="0000EE"/>
                  <w:w w:val="87"/>
                </w:rPr>
                <w:t>10</w:t>
              </w:r>
            </w:hyperlink>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40" w:type="dxa"/>
            <w:vAlign w:val="bottom"/>
            <w:gridSpan w:val="18"/>
            <w:vMerge w:val="restart"/>
          </w:tcPr>
          <w:p>
            <w:pPr>
              <w:spacing w:after="0"/>
              <w:rPr>
                <w:rFonts w:ascii="Times New Roman" w:cs="Times New Roman" w:eastAsia="Times New Roman" w:hAnsi="Times New Roman"/>
                <w:sz w:val="13"/>
                <w:szCs w:val="13"/>
                <w:color w:val="0000EE"/>
              </w:rPr>
            </w:pPr>
            <w:hyperlink r:id="rId171">
              <w:r>
                <w:rPr>
                  <w:rFonts w:ascii="Times New Roman" w:cs="Times New Roman" w:eastAsia="Times New Roman" w:hAnsi="Times New Roman"/>
                  <w:sz w:val="13"/>
                  <w:szCs w:val="13"/>
                  <w:color w:val="0000EE"/>
                </w:rPr>
                <w:t>Capital Clean Energy Carriers Corp.’s Omnibus Incentive Compensation Plan, amended and restated on August 26, 2024</w:t>
              </w:r>
            </w:hyperlink>
          </w:p>
        </w:tc>
        <w:tc>
          <w:tcPr>
            <w:tcW w:w="140" w:type="dxa"/>
            <w:vAlign w:val="bottom"/>
            <w:tcBorders>
              <w:bottom w:val="single" w:sz="8" w:color="0000EE"/>
            </w:tcBorders>
            <w:vMerge w:val="continue"/>
          </w:tcPr>
          <w:p>
            <w:pPr>
              <w:spacing w:after="0"/>
              <w:rPr>
                <w:sz w:val="21"/>
                <w:szCs w:val="21"/>
                <w:color w:val="auto"/>
              </w:rPr>
            </w:pPr>
          </w:p>
        </w:tc>
        <w:tc>
          <w:tcPr>
            <w:tcW w:w="360" w:type="dxa"/>
            <w:vAlign w:val="bottom"/>
            <w:vMerge w:val="restart"/>
          </w:tcPr>
          <w:p>
            <w:pPr>
              <w:spacing w:after="0"/>
              <w:rPr>
                <w:sz w:val="21"/>
                <w:szCs w:val="21"/>
                <w:color w:val="auto"/>
              </w:rPr>
            </w:pPr>
          </w:p>
        </w:tc>
        <w:tc>
          <w:tcPr>
            <w:tcW w:w="40" w:type="dxa"/>
            <w:vAlign w:val="bottom"/>
            <w:vMerge w:val="restart"/>
          </w:tcPr>
          <w:p>
            <w:pPr>
              <w:spacing w:after="0"/>
              <w:rPr>
                <w:sz w:val="21"/>
                <w:szCs w:val="21"/>
                <w:color w:val="auto"/>
              </w:rPr>
            </w:pPr>
          </w:p>
        </w:tc>
        <w:tc>
          <w:tcPr>
            <w:tcW w:w="80" w:type="dxa"/>
            <w:vAlign w:val="bottom"/>
            <w:vMerge w:val="restart"/>
          </w:tcPr>
          <w:p>
            <w:pPr>
              <w:spacing w:after="0"/>
              <w:rPr>
                <w:sz w:val="21"/>
                <w:szCs w:val="21"/>
                <w:color w:val="auto"/>
              </w:rPr>
            </w:pPr>
          </w:p>
        </w:tc>
        <w:tc>
          <w:tcPr>
            <w:tcW w:w="40" w:type="dxa"/>
            <w:vAlign w:val="bottom"/>
            <w:vMerge w:val="restart"/>
          </w:tcPr>
          <w:p>
            <w:pPr>
              <w:spacing w:after="0"/>
              <w:rPr>
                <w:sz w:val="21"/>
                <w:szCs w:val="21"/>
                <w:color w:val="auto"/>
              </w:rPr>
            </w:pPr>
          </w:p>
        </w:tc>
        <w:tc>
          <w:tcPr>
            <w:tcW w:w="2600" w:type="dxa"/>
            <w:vAlign w:val="bottom"/>
            <w:gridSpan w:val="3"/>
            <w:vMerge w:val="restart"/>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80" w:type="dxa"/>
            <w:vAlign w:val="bottom"/>
            <w:vMerge w:val="restart"/>
          </w:tcPr>
          <w:p>
            <w:pPr>
              <w:spacing w:after="0" w:line="20" w:lineRule="exact"/>
              <w:rPr>
                <w:sz w:val="1"/>
                <w:szCs w:val="1"/>
                <w:color w:val="auto"/>
              </w:rPr>
            </w:pPr>
          </w:p>
        </w:tc>
        <w:tc>
          <w:tcPr>
            <w:tcW w:w="220" w:type="dxa"/>
            <w:vAlign w:val="bottom"/>
            <w:tcBorders>
              <w:bottom w:val="single" w:sz="8" w:color="0000EE"/>
            </w:tcBorders>
            <w:gridSpan w:val="2"/>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440" w:type="dxa"/>
            <w:vAlign w:val="bottom"/>
            <w:gridSpan w:val="18"/>
            <w:vMerge w:val="continue"/>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60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80" w:type="dxa"/>
            <w:vAlign w:val="bottom"/>
            <w:vMerge w:val="continu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440" w:type="dxa"/>
            <w:vAlign w:val="bottom"/>
            <w:tcBorders>
              <w:bottom w:val="single" w:sz="8" w:color="0000EE"/>
            </w:tcBorders>
            <w:gridSpan w:val="18"/>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60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300" w:type="dxa"/>
            <w:vAlign w:val="bottom"/>
            <w:gridSpan w:val="3"/>
          </w:tcPr>
          <w:p>
            <w:pPr>
              <w:jc w:val="right"/>
              <w:spacing w:after="0"/>
              <w:rPr>
                <w:rFonts w:ascii="Times New Roman" w:cs="Times New Roman" w:eastAsia="Times New Roman" w:hAnsi="Times New Roman"/>
                <w:sz w:val="13"/>
                <w:szCs w:val="13"/>
                <w:color w:val="0000EE"/>
              </w:rPr>
            </w:pPr>
            <w:hyperlink r:id="rId172">
              <w:r>
                <w:rPr>
                  <w:rFonts w:ascii="Times New Roman" w:cs="Times New Roman" w:eastAsia="Times New Roman" w:hAnsi="Times New Roman"/>
                  <w:sz w:val="13"/>
                  <w:szCs w:val="13"/>
                  <w:color w:val="0000EE"/>
                </w:rPr>
                <w:t>4.</w:t>
              </w:r>
              <w:r>
                <w:rPr>
                  <w:rFonts w:ascii="Times New Roman" w:cs="Times New Roman" w:eastAsia="Times New Roman" w:hAnsi="Times New Roman"/>
                  <w:sz w:val="13"/>
                  <w:szCs w:val="13"/>
                  <w:u w:val="single" w:color="auto"/>
                  <w:color w:val="0000EE"/>
                </w:rPr>
                <w:t>11</w:t>
              </w:r>
            </w:hyperlink>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40" w:type="dxa"/>
            <w:vAlign w:val="bottom"/>
            <w:gridSpan w:val="29"/>
          </w:tcPr>
          <w:p>
            <w:pPr>
              <w:spacing w:after="0"/>
              <w:rPr>
                <w:rFonts w:ascii="Times New Roman" w:cs="Times New Roman" w:eastAsia="Times New Roman" w:hAnsi="Times New Roman"/>
                <w:sz w:val="13"/>
                <w:szCs w:val="13"/>
                <w:color w:val="0000EE"/>
              </w:rPr>
            </w:pPr>
            <w:hyperlink r:id="rId172">
              <w:r>
                <w:rPr>
                  <w:rFonts w:ascii="Times New Roman" w:cs="Times New Roman" w:eastAsia="Times New Roman" w:hAnsi="Times New Roman"/>
                  <w:sz w:val="13"/>
                  <w:szCs w:val="13"/>
                  <w:color w:val="0000EE"/>
                </w:rPr>
                <w:t>Umbrella Agreement, by and among Capital Maritime &amp; Trading Corp., Capital GP L.L.C. and Capital Clean Energy Carriers Corp. (formerly known as Capital Product Partners L.P.), dated</w:t>
              </w:r>
            </w:hyperlink>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Borders>
              <w:top w:val="single" w:sz="8" w:color="0000EE"/>
              <w:bottom w:val="single" w:sz="8" w:color="0000EE"/>
            </w:tcBorders>
            <w:vMerge w:val="restart"/>
          </w:tcPr>
          <w:p>
            <w:pPr>
              <w:spacing w:after="0"/>
              <w:rPr>
                <w:rFonts w:ascii="Times New Roman" w:cs="Times New Roman" w:eastAsia="Times New Roman" w:hAnsi="Times New Roman"/>
                <w:sz w:val="13"/>
                <w:szCs w:val="13"/>
                <w:color w:val="0000EE"/>
              </w:rPr>
            </w:pPr>
            <w:hyperlink r:id="rId172">
              <w:r>
                <w:rPr>
                  <w:rFonts w:ascii="Times New Roman" w:cs="Times New Roman" w:eastAsia="Times New Roman" w:hAnsi="Times New Roman"/>
                  <w:sz w:val="13"/>
                  <w:szCs w:val="13"/>
                  <w:color w:val="0000EE"/>
                </w:rPr>
                <w:t>November 13, 2023</w:t>
              </w:r>
            </w:hyperlink>
          </w:p>
        </w:tc>
        <w:tc>
          <w:tcPr>
            <w:tcW w:w="140" w:type="dxa"/>
            <w:vAlign w:val="bottom"/>
            <w:tcBorders>
              <w:top w:val="single" w:sz="8" w:color="0000EE"/>
              <w:bottom w:val="single" w:sz="8" w:color="0000EE"/>
            </w:tcBorders>
            <w:gridSpan w:val="2"/>
          </w:tcPr>
          <w:p>
            <w:pPr>
              <w:jc w:val="right"/>
              <w:spacing w:after="0" w:line="110" w:lineRule="exact"/>
              <w:rPr>
                <w:rFonts w:ascii="Times New Roman" w:cs="Times New Roman" w:eastAsia="Times New Roman" w:hAnsi="Times New Roman"/>
                <w:sz w:val="11"/>
                <w:szCs w:val="11"/>
                <w:color w:val="0000EE"/>
                <w:w w:val="93"/>
              </w:rPr>
            </w:pPr>
            <w:hyperlink r:id="rId172">
              <w:r>
                <w:rPr>
                  <w:rFonts w:ascii="Times New Roman" w:cs="Times New Roman" w:eastAsia="Times New Roman" w:hAnsi="Times New Roman"/>
                  <w:sz w:val="11"/>
                  <w:szCs w:val="11"/>
                  <w:color w:val="0000EE"/>
                  <w:w w:val="93"/>
                </w:rPr>
                <w:t>(7)</w:t>
              </w:r>
            </w:hyperlink>
          </w:p>
        </w:tc>
        <w:tc>
          <w:tcPr>
            <w:tcW w:w="380" w:type="dxa"/>
            <w:vAlign w:val="bottom"/>
            <w:tcBorders>
              <w:top w:val="single" w:sz="8" w:color="0000EE"/>
              <w:bottom w:val="single" w:sz="8" w:color="0000EE"/>
            </w:tcBorders>
            <w:vMerge w:val="restart"/>
          </w:tcPr>
          <w:p>
            <w:pPr>
              <w:spacing w:after="0"/>
              <w:rPr>
                <w:sz w:val="10"/>
                <w:szCs w:val="10"/>
                <w:color w:val="auto"/>
              </w:rPr>
            </w:pPr>
          </w:p>
        </w:tc>
        <w:tc>
          <w:tcPr>
            <w:tcW w:w="20" w:type="dxa"/>
            <w:vAlign w:val="bottom"/>
            <w:tcBorders>
              <w:top w:val="single" w:sz="8" w:color="0000EE"/>
              <w:bottom w:val="single" w:sz="8" w:color="0000EE"/>
            </w:tcBorders>
            <w:vMerge w:val="restart"/>
          </w:tcPr>
          <w:p>
            <w:pPr>
              <w:spacing w:after="0"/>
              <w:rPr>
                <w:sz w:val="10"/>
                <w:szCs w:val="10"/>
                <w:color w:val="auto"/>
              </w:rPr>
            </w:pPr>
          </w:p>
        </w:tc>
        <w:tc>
          <w:tcPr>
            <w:tcW w:w="20" w:type="dxa"/>
            <w:vAlign w:val="bottom"/>
            <w:tcBorders>
              <w:top w:val="single" w:sz="8" w:color="0000EE"/>
              <w:bottom w:val="single" w:sz="8" w:color="0000EE"/>
            </w:tcBorders>
            <w:vMerge w:val="restart"/>
          </w:tcPr>
          <w:p>
            <w:pPr>
              <w:spacing w:after="0"/>
              <w:rPr>
                <w:sz w:val="10"/>
                <w:szCs w:val="10"/>
                <w:color w:val="auto"/>
              </w:rPr>
            </w:pPr>
          </w:p>
        </w:tc>
        <w:tc>
          <w:tcPr>
            <w:tcW w:w="20" w:type="dxa"/>
            <w:vAlign w:val="bottom"/>
            <w:tcBorders>
              <w:top w:val="single" w:sz="8" w:color="0000EE"/>
              <w:bottom w:val="single" w:sz="8" w:color="0000EE"/>
            </w:tcBorders>
            <w:vMerge w:val="restart"/>
          </w:tcPr>
          <w:p>
            <w:pPr>
              <w:spacing w:after="0"/>
              <w:rPr>
                <w:sz w:val="10"/>
                <w:szCs w:val="10"/>
                <w:color w:val="auto"/>
              </w:rPr>
            </w:pPr>
          </w:p>
        </w:tc>
        <w:tc>
          <w:tcPr>
            <w:tcW w:w="80" w:type="dxa"/>
            <w:vAlign w:val="bottom"/>
            <w:tcBorders>
              <w:top w:val="single" w:sz="8" w:color="0000EE"/>
              <w:bottom w:val="single" w:sz="8" w:color="0000EE"/>
            </w:tcBorders>
            <w:vMerge w:val="restart"/>
          </w:tcPr>
          <w:p>
            <w:pPr>
              <w:spacing w:after="0"/>
              <w:rPr>
                <w:sz w:val="10"/>
                <w:szCs w:val="10"/>
                <w:color w:val="auto"/>
              </w:rPr>
            </w:pPr>
          </w:p>
        </w:tc>
        <w:tc>
          <w:tcPr>
            <w:tcW w:w="80" w:type="dxa"/>
            <w:vAlign w:val="bottom"/>
            <w:tcBorders>
              <w:top w:val="single" w:sz="8" w:color="0000EE"/>
              <w:bottom w:val="single" w:sz="8" w:color="0000EE"/>
            </w:tcBorders>
            <w:vMerge w:val="restart"/>
          </w:tcPr>
          <w:p>
            <w:pPr>
              <w:spacing w:after="0"/>
              <w:rPr>
                <w:sz w:val="10"/>
                <w:szCs w:val="10"/>
                <w:color w:val="auto"/>
              </w:rPr>
            </w:pPr>
          </w:p>
        </w:tc>
        <w:tc>
          <w:tcPr>
            <w:tcW w:w="1340" w:type="dxa"/>
            <w:vAlign w:val="bottom"/>
            <w:tcBorders>
              <w:top w:val="single" w:sz="8" w:color="0000EE"/>
              <w:bottom w:val="single" w:sz="8" w:color="0000EE"/>
            </w:tcBorders>
            <w:gridSpan w:val="3"/>
            <w:vMerge w:val="restart"/>
          </w:tcPr>
          <w:p>
            <w:pPr>
              <w:spacing w:after="0"/>
              <w:rPr>
                <w:sz w:val="10"/>
                <w:szCs w:val="10"/>
                <w:color w:val="auto"/>
              </w:rPr>
            </w:pPr>
          </w:p>
        </w:tc>
        <w:tc>
          <w:tcPr>
            <w:tcW w:w="140" w:type="dxa"/>
            <w:vAlign w:val="bottom"/>
            <w:tcBorders>
              <w:top w:val="single" w:sz="8" w:color="0000EE"/>
              <w:bottom w:val="single" w:sz="8" w:color="0000EE"/>
            </w:tcBorders>
            <w:vMerge w:val="restart"/>
          </w:tcPr>
          <w:p>
            <w:pPr>
              <w:spacing w:after="0"/>
              <w:rPr>
                <w:sz w:val="10"/>
                <w:szCs w:val="10"/>
                <w:color w:val="auto"/>
              </w:rPr>
            </w:pPr>
          </w:p>
        </w:tc>
        <w:tc>
          <w:tcPr>
            <w:tcW w:w="160" w:type="dxa"/>
            <w:vAlign w:val="bottom"/>
            <w:tcBorders>
              <w:top w:val="single" w:sz="8" w:color="0000EE"/>
              <w:bottom w:val="single" w:sz="8" w:color="0000EE"/>
            </w:tcBorders>
            <w:vMerge w:val="restart"/>
          </w:tcPr>
          <w:p>
            <w:pPr>
              <w:spacing w:after="0"/>
              <w:rPr>
                <w:sz w:val="10"/>
                <w:szCs w:val="10"/>
                <w:color w:val="auto"/>
              </w:rPr>
            </w:pPr>
          </w:p>
        </w:tc>
        <w:tc>
          <w:tcPr>
            <w:tcW w:w="560" w:type="dxa"/>
            <w:vAlign w:val="bottom"/>
            <w:tcBorders>
              <w:top w:val="single" w:sz="8" w:color="0000EE"/>
              <w:bottom w:val="single" w:sz="8" w:color="0000EE"/>
            </w:tcBorders>
            <w:vMerge w:val="restart"/>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1400" w:type="dxa"/>
            <w:vAlign w:val="bottom"/>
            <w:tcBorders>
              <w:top w:val="single" w:sz="8" w:color="0000EE"/>
              <w:bottom w:val="single" w:sz="8" w:color="0000EE"/>
            </w:tcBorders>
            <w:vMerge w:val="restart"/>
          </w:tcPr>
          <w:p>
            <w:pPr>
              <w:spacing w:after="0"/>
              <w:rPr>
                <w:sz w:val="10"/>
                <w:szCs w:val="10"/>
                <w:color w:val="auto"/>
              </w:rPr>
            </w:pPr>
          </w:p>
        </w:tc>
        <w:tc>
          <w:tcPr>
            <w:tcW w:w="1400" w:type="dxa"/>
            <w:vAlign w:val="bottom"/>
            <w:tcBorders>
              <w:top w:val="single" w:sz="8" w:color="0000EE"/>
              <w:bottom w:val="single" w:sz="8" w:color="0000EE"/>
            </w:tcBorders>
            <w:gridSpan w:val="3"/>
            <w:vMerge w:val="restart"/>
          </w:tcPr>
          <w:p>
            <w:pPr>
              <w:spacing w:after="0"/>
              <w:rPr>
                <w:sz w:val="10"/>
                <w:szCs w:val="10"/>
                <w:color w:val="auto"/>
              </w:rPr>
            </w:pPr>
          </w:p>
        </w:tc>
        <w:tc>
          <w:tcPr>
            <w:tcW w:w="40" w:type="dxa"/>
            <w:vAlign w:val="bottom"/>
            <w:tcBorders>
              <w:top w:val="single" w:sz="8" w:color="0000EE"/>
              <w:bottom w:val="single" w:sz="8" w:color="0000EE"/>
            </w:tcBorders>
            <w:vMerge w:val="restart"/>
          </w:tcPr>
          <w:p>
            <w:pPr>
              <w:spacing w:after="0"/>
              <w:rPr>
                <w:sz w:val="10"/>
                <w:szCs w:val="10"/>
                <w:color w:val="auto"/>
              </w:rPr>
            </w:pPr>
          </w:p>
        </w:tc>
        <w:tc>
          <w:tcPr>
            <w:tcW w:w="80" w:type="dxa"/>
            <w:vAlign w:val="bottom"/>
            <w:tcBorders>
              <w:top w:val="single" w:sz="8" w:color="0000EE"/>
              <w:bottom w:val="single" w:sz="8" w:color="0000EE"/>
            </w:tcBorders>
            <w:vMerge w:val="restart"/>
          </w:tcPr>
          <w:p>
            <w:pPr>
              <w:spacing w:after="0"/>
              <w:rPr>
                <w:sz w:val="10"/>
                <w:szCs w:val="10"/>
                <w:color w:val="auto"/>
              </w:rPr>
            </w:pPr>
          </w:p>
        </w:tc>
        <w:tc>
          <w:tcPr>
            <w:tcW w:w="40" w:type="dxa"/>
            <w:vAlign w:val="bottom"/>
            <w:tcBorders>
              <w:top w:val="single" w:sz="8" w:color="0000EE"/>
              <w:bottom w:val="single" w:sz="8" w:color="0000EE"/>
            </w:tcBorders>
            <w:vMerge w:val="restart"/>
          </w:tcPr>
          <w:p>
            <w:pPr>
              <w:spacing w:after="0"/>
              <w:rPr>
                <w:sz w:val="10"/>
                <w:szCs w:val="10"/>
                <w:color w:val="auto"/>
              </w:rPr>
            </w:pPr>
          </w:p>
        </w:tc>
        <w:tc>
          <w:tcPr>
            <w:tcW w:w="2600" w:type="dxa"/>
            <w:vAlign w:val="bottom"/>
            <w:tcBorders>
              <w:top w:val="single" w:sz="8" w:color="0000EE"/>
              <w:bottom w:val="single" w:sz="8" w:color="0000EE"/>
            </w:tcBorders>
            <w:gridSpan w:val="3"/>
            <w:vMerge w:val="restart"/>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740" w:type="dxa"/>
            <w:vAlign w:val="bottom"/>
            <w:tcBorders>
              <w:top w:val="single" w:sz="8" w:color="0000EE"/>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Borders>
              <w:bottom w:val="single" w:sz="8" w:color="0000EE"/>
            </w:tcBorders>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0000EE"/>
                <w:w w:val="93"/>
              </w:rPr>
              <w:t>(7)</w:t>
            </w:r>
          </w:p>
        </w:tc>
        <w:tc>
          <w:tcPr>
            <w:tcW w:w="1400" w:type="dxa"/>
            <w:vAlign w:val="bottom"/>
            <w:vMerge w:val="continue"/>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6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80" w:type="dxa"/>
            <w:vAlign w:val="bottom"/>
          </w:tcPr>
          <w:p>
            <w:pPr>
              <w:spacing w:after="0"/>
              <w:rPr>
                <w:sz w:val="24"/>
                <w:szCs w:val="24"/>
                <w:color w:val="auto"/>
              </w:rPr>
            </w:pPr>
          </w:p>
        </w:tc>
        <w:tc>
          <w:tcPr>
            <w:tcW w:w="240" w:type="dxa"/>
            <w:vAlign w:val="bottom"/>
            <w:gridSpan w:val="3"/>
            <w:vMerge w:val="restart"/>
          </w:tcPr>
          <w:p>
            <w:pPr>
              <w:jc w:val="right"/>
              <w:ind w:right="20"/>
              <w:spacing w:after="0"/>
              <w:rPr>
                <w:rFonts w:ascii="Times New Roman" w:cs="Times New Roman" w:eastAsia="Times New Roman" w:hAnsi="Times New Roman"/>
                <w:sz w:val="13"/>
                <w:szCs w:val="13"/>
                <w:color w:val="0000EE"/>
                <w:w w:val="87"/>
              </w:rPr>
            </w:pPr>
            <w:hyperlink r:id="rId172">
              <w:r>
                <w:rPr>
                  <w:rFonts w:ascii="Times New Roman" w:cs="Times New Roman" w:eastAsia="Times New Roman" w:hAnsi="Times New Roman"/>
                  <w:sz w:val="13"/>
                  <w:szCs w:val="13"/>
                  <w:color w:val="0000EE"/>
                  <w:w w:val="87"/>
                </w:rPr>
                <w:t>4.</w:t>
              </w:r>
              <w:r>
                <w:rPr>
                  <w:rFonts w:ascii="Times New Roman" w:cs="Times New Roman" w:eastAsia="Times New Roman" w:hAnsi="Times New Roman"/>
                  <w:sz w:val="13"/>
                  <w:szCs w:val="13"/>
                  <w:u w:val="single" w:color="auto"/>
                  <w:color w:val="0000EE"/>
                  <w:w w:val="87"/>
                </w:rPr>
                <w:t>12</w:t>
              </w:r>
            </w:hyperlink>
          </w:p>
        </w:tc>
        <w:tc>
          <w:tcPr>
            <w:tcW w:w="320" w:type="dxa"/>
            <w:vAlign w:val="bottom"/>
          </w:tcPr>
          <w:p>
            <w:pPr>
              <w:spacing w:after="0"/>
              <w:rPr>
                <w:sz w:val="24"/>
                <w:szCs w:val="24"/>
                <w:color w:val="auto"/>
              </w:rPr>
            </w:pPr>
          </w:p>
        </w:tc>
        <w:tc>
          <w:tcPr>
            <w:tcW w:w="4000" w:type="dxa"/>
            <w:vAlign w:val="bottom"/>
            <w:gridSpan w:val="15"/>
            <w:vMerge w:val="restart"/>
          </w:tcPr>
          <w:p>
            <w:pPr>
              <w:spacing w:after="0"/>
              <w:rPr>
                <w:rFonts w:ascii="Times New Roman" w:cs="Times New Roman" w:eastAsia="Times New Roman" w:hAnsi="Times New Roman"/>
                <w:sz w:val="13"/>
                <w:szCs w:val="13"/>
                <w:color w:val="0000EE"/>
              </w:rPr>
            </w:pPr>
            <w:hyperlink r:id="rId172">
              <w:r>
                <w:rPr>
                  <w:rFonts w:ascii="Times New Roman" w:cs="Times New Roman" w:eastAsia="Times New Roman" w:hAnsi="Times New Roman"/>
                  <w:sz w:val="13"/>
                  <w:szCs w:val="13"/>
                  <w:color w:val="0000EE"/>
                </w:rPr>
                <w:t>Form of Supervision Agreement with Capital-Gas Ship Management Corp.</w:t>
              </w:r>
            </w:hyperlink>
          </w:p>
        </w:tc>
        <w:tc>
          <w:tcPr>
            <w:tcW w:w="140" w:type="dxa"/>
            <w:vAlign w:val="bottom"/>
            <w:tcBorders>
              <w:bottom w:val="single" w:sz="8" w:color="0000EE"/>
            </w:tcBorders>
            <w:vMerge w:val="continue"/>
          </w:tcPr>
          <w:p>
            <w:pPr>
              <w:spacing w:after="0"/>
              <w:rPr>
                <w:sz w:val="24"/>
                <w:szCs w:val="24"/>
                <w:color w:val="auto"/>
              </w:rPr>
            </w:pPr>
          </w:p>
        </w:tc>
        <w:tc>
          <w:tcPr>
            <w:tcW w:w="1400" w:type="dxa"/>
            <w:vAlign w:val="bottom"/>
            <w:vMerge w:val="restart"/>
          </w:tcPr>
          <w:p>
            <w:pPr>
              <w:spacing w:after="0"/>
              <w:rPr>
                <w:sz w:val="24"/>
                <w:szCs w:val="24"/>
                <w:color w:val="auto"/>
              </w:rPr>
            </w:pPr>
          </w:p>
        </w:tc>
        <w:tc>
          <w:tcPr>
            <w:tcW w:w="1400" w:type="dxa"/>
            <w:vAlign w:val="bottom"/>
            <w:gridSpan w:val="3"/>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8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2600" w:type="dxa"/>
            <w:vAlign w:val="bottom"/>
            <w:gridSpan w:val="3"/>
            <w:vMerge w:val="restart"/>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80" w:type="dxa"/>
            <w:vAlign w:val="bottom"/>
            <w:vMerge w:val="restart"/>
          </w:tcPr>
          <w:p>
            <w:pPr>
              <w:spacing w:after="0" w:line="20" w:lineRule="exact"/>
              <w:rPr>
                <w:sz w:val="1"/>
                <w:szCs w:val="1"/>
                <w:color w:val="auto"/>
              </w:rPr>
            </w:pPr>
          </w:p>
        </w:tc>
        <w:tc>
          <w:tcPr>
            <w:tcW w:w="240" w:type="dxa"/>
            <w:vAlign w:val="bottom"/>
            <w:tcBorders>
              <w:bottom w:val="single" w:sz="8" w:color="0000EE"/>
            </w:tcBorders>
            <w:gridSpan w:val="3"/>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0" w:type="dxa"/>
            <w:vAlign w:val="bottom"/>
            <w:gridSpan w:val="15"/>
            <w:vMerge w:val="continue"/>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1400" w:type="dxa"/>
            <w:vAlign w:val="bottom"/>
            <w:gridSpan w:val="3"/>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60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80" w:type="dxa"/>
            <w:vAlign w:val="bottom"/>
            <w:vMerge w:val="continu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0" w:type="dxa"/>
            <w:vAlign w:val="bottom"/>
            <w:tcBorders>
              <w:bottom w:val="single" w:sz="8" w:color="0000EE"/>
            </w:tcBorders>
            <w:gridSpan w:val="15"/>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1400" w:type="dxa"/>
            <w:vAlign w:val="bottom"/>
            <w:gridSpan w:val="3"/>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60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0" w:type="dxa"/>
            <w:vAlign w:val="bottom"/>
          </w:tcPr>
          <w:p>
            <w:pPr>
              <w:spacing w:after="0"/>
              <w:rPr>
                <w:sz w:val="21"/>
                <w:szCs w:val="21"/>
                <w:color w:val="auto"/>
              </w:rPr>
            </w:pPr>
          </w:p>
        </w:tc>
        <w:tc>
          <w:tcPr>
            <w:tcW w:w="240" w:type="dxa"/>
            <w:vAlign w:val="bottom"/>
            <w:gridSpan w:val="3"/>
            <w:vMerge w:val="restart"/>
          </w:tcPr>
          <w:p>
            <w:pPr>
              <w:jc w:val="right"/>
              <w:ind w:right="20"/>
              <w:spacing w:after="0"/>
              <w:rPr>
                <w:rFonts w:ascii="Times New Roman" w:cs="Times New Roman" w:eastAsia="Times New Roman" w:hAnsi="Times New Roman"/>
                <w:sz w:val="13"/>
                <w:szCs w:val="13"/>
                <w:color w:val="0000EE"/>
                <w:w w:val="87"/>
              </w:rPr>
            </w:pPr>
            <w:hyperlink r:id="rId173">
              <w:r>
                <w:rPr>
                  <w:rFonts w:ascii="Times New Roman" w:cs="Times New Roman" w:eastAsia="Times New Roman" w:hAnsi="Times New Roman"/>
                  <w:sz w:val="13"/>
                  <w:szCs w:val="13"/>
                  <w:color w:val="0000EE"/>
                  <w:w w:val="87"/>
                </w:rPr>
                <w:t>4.</w:t>
              </w:r>
              <w:r>
                <w:rPr>
                  <w:rFonts w:ascii="Times New Roman" w:cs="Times New Roman" w:eastAsia="Times New Roman" w:hAnsi="Times New Roman"/>
                  <w:sz w:val="13"/>
                  <w:szCs w:val="13"/>
                  <w:u w:val="single" w:color="auto"/>
                  <w:color w:val="0000EE"/>
                  <w:w w:val="87"/>
                </w:rPr>
                <w:t>13</w:t>
              </w:r>
            </w:hyperlink>
          </w:p>
        </w:tc>
        <w:tc>
          <w:tcPr>
            <w:tcW w:w="320" w:type="dxa"/>
            <w:vAlign w:val="bottom"/>
          </w:tcPr>
          <w:p>
            <w:pPr>
              <w:spacing w:after="0"/>
              <w:rPr>
                <w:sz w:val="21"/>
                <w:szCs w:val="21"/>
                <w:color w:val="auto"/>
              </w:rPr>
            </w:pPr>
          </w:p>
        </w:tc>
        <w:tc>
          <w:tcPr>
            <w:tcW w:w="9700" w:type="dxa"/>
            <w:vAlign w:val="bottom"/>
            <w:gridSpan w:val="26"/>
            <w:vMerge w:val="restart"/>
          </w:tcPr>
          <w:p>
            <w:pPr>
              <w:spacing w:after="0"/>
              <w:rPr>
                <w:rFonts w:ascii="Times New Roman" w:cs="Times New Roman" w:eastAsia="Times New Roman" w:hAnsi="Times New Roman"/>
                <w:sz w:val="13"/>
                <w:szCs w:val="13"/>
                <w:color w:val="0000EE"/>
              </w:rPr>
            </w:pPr>
            <w:hyperlink r:id="rId173">
              <w:r>
                <w:rPr>
                  <w:rFonts w:ascii="Times New Roman" w:cs="Times New Roman" w:eastAsia="Times New Roman" w:hAnsi="Times New Roman"/>
                  <w:sz w:val="13"/>
                  <w:szCs w:val="13"/>
                  <w:color w:val="0000EE"/>
                </w:rPr>
                <w:t>Shareholders’ Agreement dated August 26, 2024 by and among Capital Clean Energy Carriers Corp. and Capital Maritime &amp; Trading Corp., Capital Gas Corp. and Capital GP L.L.C.</w:t>
              </w:r>
            </w:hyperlink>
          </w:p>
        </w:tc>
        <w:tc>
          <w:tcPr>
            <w:tcW w:w="1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1"/>
                <w:szCs w:val="11"/>
                <w:color w:val="0000EE"/>
                <w:w w:val="93"/>
              </w:rPr>
              <w:t>(1)</w:t>
            </w:r>
          </w:p>
        </w:tc>
        <w:tc>
          <w:tcPr>
            <w:tcW w:w="740" w:type="dxa"/>
            <w:vAlign w:val="bottom"/>
            <w:vMerge w:val="restart"/>
          </w:tcPr>
          <w:p>
            <w:pPr>
              <w:spacing w:after="0"/>
              <w:rPr>
                <w:sz w:val="21"/>
                <w:szCs w:val="21"/>
                <w:color w:val="auto"/>
              </w:rPr>
            </w:pPr>
          </w:p>
        </w:tc>
        <w:tc>
          <w:tcPr>
            <w:tcW w:w="6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80" w:type="dxa"/>
            <w:vAlign w:val="bottom"/>
            <w:vMerge w:val="restart"/>
          </w:tcPr>
          <w:p>
            <w:pPr>
              <w:spacing w:after="0" w:line="20" w:lineRule="exact"/>
              <w:rPr>
                <w:sz w:val="1"/>
                <w:szCs w:val="1"/>
                <w:color w:val="auto"/>
              </w:rPr>
            </w:pPr>
          </w:p>
        </w:tc>
        <w:tc>
          <w:tcPr>
            <w:tcW w:w="240" w:type="dxa"/>
            <w:vAlign w:val="bottom"/>
            <w:tcBorders>
              <w:bottom w:val="single" w:sz="8" w:color="0000EE"/>
            </w:tcBorders>
            <w:gridSpan w:val="3"/>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700" w:type="dxa"/>
            <w:vAlign w:val="bottom"/>
            <w:gridSpan w:val="26"/>
            <w:vMerge w:val="continue"/>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80" w:type="dxa"/>
            <w:vAlign w:val="bottom"/>
            <w:vMerge w:val="continu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700" w:type="dxa"/>
            <w:vAlign w:val="bottom"/>
            <w:tcBorders>
              <w:bottom w:val="single" w:sz="8" w:color="0000EE"/>
            </w:tcBorders>
            <w:gridSpan w:val="26"/>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320" w:type="dxa"/>
            <w:vAlign w:val="bottom"/>
            <w:gridSpan w:val="4"/>
          </w:tcPr>
          <w:p>
            <w:pPr>
              <w:jc w:val="right"/>
              <w:ind w:right="20"/>
              <w:spacing w:after="0"/>
              <w:rPr>
                <w:rFonts w:ascii="Times New Roman" w:cs="Times New Roman" w:eastAsia="Times New Roman" w:hAnsi="Times New Roman"/>
                <w:sz w:val="13"/>
                <w:szCs w:val="13"/>
                <w:color w:val="0000EE"/>
              </w:rPr>
            </w:pPr>
            <w:hyperlink r:id="rId174">
              <w:r>
                <w:rPr>
                  <w:rFonts w:ascii="Times New Roman" w:cs="Times New Roman" w:eastAsia="Times New Roman" w:hAnsi="Times New Roman"/>
                  <w:sz w:val="13"/>
                  <w:szCs w:val="13"/>
                  <w:color w:val="0000EE"/>
                </w:rPr>
                <w:t>4.</w:t>
              </w:r>
              <w:r>
                <w:rPr>
                  <w:rFonts w:ascii="Times New Roman" w:cs="Times New Roman" w:eastAsia="Times New Roman" w:hAnsi="Times New Roman"/>
                  <w:sz w:val="13"/>
                  <w:szCs w:val="13"/>
                  <w:u w:val="single" w:color="auto"/>
                  <w:color w:val="0000EE"/>
                </w:rPr>
                <w:t>14</w:t>
              </w:r>
            </w:hyperlink>
          </w:p>
        </w:tc>
        <w:tc>
          <w:tcPr>
            <w:tcW w:w="320" w:type="dxa"/>
            <w:vAlign w:val="bottom"/>
          </w:tcPr>
          <w:p>
            <w:pPr>
              <w:spacing w:after="0"/>
              <w:rPr>
                <w:sz w:val="23"/>
                <w:szCs w:val="23"/>
                <w:color w:val="auto"/>
              </w:rPr>
            </w:pPr>
          </w:p>
        </w:tc>
        <w:tc>
          <w:tcPr>
            <w:tcW w:w="10640" w:type="dxa"/>
            <w:vAlign w:val="bottom"/>
            <w:gridSpan w:val="29"/>
          </w:tcPr>
          <w:p>
            <w:pPr>
              <w:spacing w:after="0"/>
              <w:rPr>
                <w:rFonts w:ascii="Times New Roman" w:cs="Times New Roman" w:eastAsia="Times New Roman" w:hAnsi="Times New Roman"/>
                <w:sz w:val="13"/>
                <w:szCs w:val="13"/>
                <w:color w:val="0000EE"/>
              </w:rPr>
            </w:pPr>
            <w:hyperlink r:id="rId174">
              <w:r>
                <w:rPr>
                  <w:rFonts w:ascii="Times New Roman" w:cs="Times New Roman" w:eastAsia="Times New Roman" w:hAnsi="Times New Roman"/>
                  <w:sz w:val="13"/>
                  <w:szCs w:val="13"/>
                  <w:color w:val="0000EE"/>
                </w:rPr>
                <w:t>Registration Rights Agreement dated August 26, 2024 by and among Capital Clean Energy Carriers Corp., Capital Maritime &amp; Trading Corp., Capital Gas Corp., Capital GP L.L.C., Paparebecorp</w:t>
              </w:r>
            </w:hyperlink>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0" w:type="dxa"/>
            <w:vAlign w:val="bottom"/>
            <w:tcBorders>
              <w:top w:val="single" w:sz="8" w:color="0000EE"/>
              <w:bottom w:val="single" w:sz="8" w:color="0000EE"/>
            </w:tcBorders>
            <w:gridSpan w:val="5"/>
            <w:vMerge w:val="restart"/>
          </w:tcPr>
          <w:p>
            <w:pPr>
              <w:spacing w:after="0"/>
              <w:rPr>
                <w:rFonts w:ascii="Times New Roman" w:cs="Times New Roman" w:eastAsia="Times New Roman" w:hAnsi="Times New Roman"/>
                <w:sz w:val="13"/>
                <w:szCs w:val="13"/>
                <w:color w:val="0000EE"/>
              </w:rPr>
            </w:pPr>
            <w:hyperlink r:id="rId174">
              <w:r>
                <w:rPr>
                  <w:rFonts w:ascii="Times New Roman" w:cs="Times New Roman" w:eastAsia="Times New Roman" w:hAnsi="Times New Roman"/>
                  <w:sz w:val="13"/>
                  <w:szCs w:val="13"/>
                  <w:color w:val="0000EE"/>
                </w:rPr>
                <w:t>Limited and Ascetico Limited</w:t>
              </w:r>
            </w:hyperlink>
          </w:p>
        </w:tc>
        <w:tc>
          <w:tcPr>
            <w:tcW w:w="120" w:type="dxa"/>
            <w:vAlign w:val="bottom"/>
            <w:tcBorders>
              <w:top w:val="single" w:sz="8" w:color="0000EE"/>
              <w:bottom w:val="single" w:sz="8" w:color="0000EE"/>
            </w:tcBorders>
            <w:gridSpan w:val="3"/>
          </w:tcPr>
          <w:p>
            <w:pPr>
              <w:jc w:val="right"/>
              <w:spacing w:after="0" w:line="110" w:lineRule="exact"/>
              <w:rPr>
                <w:rFonts w:ascii="Times New Roman" w:cs="Times New Roman" w:eastAsia="Times New Roman" w:hAnsi="Times New Roman"/>
                <w:sz w:val="11"/>
                <w:szCs w:val="11"/>
                <w:color w:val="0000EE"/>
                <w:w w:val="77"/>
              </w:rPr>
            </w:pPr>
            <w:hyperlink r:id="rId174">
              <w:r>
                <w:rPr>
                  <w:rFonts w:ascii="Times New Roman" w:cs="Times New Roman" w:eastAsia="Times New Roman" w:hAnsi="Times New Roman"/>
                  <w:sz w:val="11"/>
                  <w:szCs w:val="11"/>
                  <w:color w:val="0000EE"/>
                  <w:w w:val="77"/>
                </w:rPr>
                <w:t>(1)</w:t>
              </w:r>
            </w:hyperlink>
          </w:p>
        </w:tc>
        <w:tc>
          <w:tcPr>
            <w:tcW w:w="80" w:type="dxa"/>
            <w:vAlign w:val="bottom"/>
            <w:tcBorders>
              <w:top w:val="single" w:sz="8" w:color="0000EE"/>
              <w:bottom w:val="single" w:sz="8" w:color="0000EE"/>
            </w:tcBorders>
            <w:vMerge w:val="restart"/>
          </w:tcPr>
          <w:p>
            <w:pPr>
              <w:spacing w:after="0"/>
              <w:rPr>
                <w:sz w:val="10"/>
                <w:szCs w:val="10"/>
                <w:color w:val="auto"/>
              </w:rPr>
            </w:pPr>
          </w:p>
        </w:tc>
        <w:tc>
          <w:tcPr>
            <w:tcW w:w="1340" w:type="dxa"/>
            <w:vAlign w:val="bottom"/>
            <w:tcBorders>
              <w:top w:val="single" w:sz="8" w:color="0000EE"/>
              <w:bottom w:val="single" w:sz="8" w:color="0000EE"/>
            </w:tcBorders>
            <w:gridSpan w:val="3"/>
            <w:vMerge w:val="restart"/>
          </w:tcPr>
          <w:p>
            <w:pPr>
              <w:spacing w:after="0"/>
              <w:rPr>
                <w:sz w:val="10"/>
                <w:szCs w:val="10"/>
                <w:color w:val="auto"/>
              </w:rPr>
            </w:pPr>
          </w:p>
        </w:tc>
        <w:tc>
          <w:tcPr>
            <w:tcW w:w="140" w:type="dxa"/>
            <w:vAlign w:val="bottom"/>
            <w:tcBorders>
              <w:top w:val="single" w:sz="8" w:color="0000EE"/>
              <w:bottom w:val="single" w:sz="8" w:color="0000EE"/>
            </w:tcBorders>
            <w:vMerge w:val="restart"/>
          </w:tcPr>
          <w:p>
            <w:pPr>
              <w:spacing w:after="0"/>
              <w:rPr>
                <w:sz w:val="10"/>
                <w:szCs w:val="10"/>
                <w:color w:val="auto"/>
              </w:rPr>
            </w:pPr>
          </w:p>
        </w:tc>
        <w:tc>
          <w:tcPr>
            <w:tcW w:w="160" w:type="dxa"/>
            <w:vAlign w:val="bottom"/>
            <w:tcBorders>
              <w:top w:val="single" w:sz="8" w:color="0000EE"/>
              <w:bottom w:val="single" w:sz="8" w:color="0000EE"/>
            </w:tcBorders>
            <w:vMerge w:val="restart"/>
          </w:tcPr>
          <w:p>
            <w:pPr>
              <w:spacing w:after="0"/>
              <w:rPr>
                <w:sz w:val="10"/>
                <w:szCs w:val="10"/>
                <w:color w:val="auto"/>
              </w:rPr>
            </w:pPr>
          </w:p>
        </w:tc>
        <w:tc>
          <w:tcPr>
            <w:tcW w:w="2100" w:type="dxa"/>
            <w:vAlign w:val="bottom"/>
            <w:tcBorders>
              <w:top w:val="single" w:sz="8" w:color="0000EE"/>
              <w:bottom w:val="single" w:sz="8" w:color="0000EE"/>
            </w:tcBorders>
            <w:gridSpan w:val="3"/>
            <w:vMerge w:val="restart"/>
          </w:tcPr>
          <w:p>
            <w:pPr>
              <w:spacing w:after="0"/>
              <w:rPr>
                <w:sz w:val="10"/>
                <w:szCs w:val="10"/>
                <w:color w:val="auto"/>
              </w:rPr>
            </w:pPr>
          </w:p>
        </w:tc>
        <w:tc>
          <w:tcPr>
            <w:tcW w:w="1400" w:type="dxa"/>
            <w:vAlign w:val="bottom"/>
            <w:tcBorders>
              <w:top w:val="single" w:sz="8" w:color="0000EE"/>
              <w:bottom w:val="single" w:sz="8" w:color="0000EE"/>
            </w:tcBorders>
            <w:gridSpan w:val="3"/>
            <w:vMerge w:val="restart"/>
          </w:tcPr>
          <w:p>
            <w:pPr>
              <w:spacing w:after="0"/>
              <w:rPr>
                <w:sz w:val="10"/>
                <w:szCs w:val="10"/>
                <w:color w:val="auto"/>
              </w:rPr>
            </w:pPr>
          </w:p>
        </w:tc>
        <w:tc>
          <w:tcPr>
            <w:tcW w:w="40" w:type="dxa"/>
            <w:vAlign w:val="bottom"/>
            <w:tcBorders>
              <w:top w:val="single" w:sz="8" w:color="0000EE"/>
              <w:bottom w:val="single" w:sz="8" w:color="0000EE"/>
            </w:tcBorders>
            <w:vMerge w:val="restart"/>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600" w:type="dxa"/>
            <w:vAlign w:val="bottom"/>
            <w:tcBorders>
              <w:top w:val="single" w:sz="8" w:color="0000EE"/>
              <w:bottom w:val="single" w:sz="8" w:color="0000EE"/>
            </w:tcBorders>
            <w:gridSpan w:val="3"/>
            <w:vMerge w:val="restart"/>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740" w:type="dxa"/>
            <w:vAlign w:val="bottom"/>
            <w:tcBorders>
              <w:top w:val="single" w:sz="8" w:color="0000EE"/>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Borders>
              <w:bottom w:val="single" w:sz="8" w:color="0000EE"/>
            </w:tcBorders>
            <w:gridSpan w:val="5"/>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2100" w:type="dxa"/>
            <w:vAlign w:val="bottom"/>
            <w:gridSpan w:val="3"/>
            <w:vMerge w:val="continue"/>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0000EE"/>
                <w:w w:val="77"/>
              </w:rPr>
              <w:t>(1)</w:t>
            </w:r>
          </w:p>
        </w:tc>
        <w:tc>
          <w:tcPr>
            <w:tcW w:w="26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80" w:type="dxa"/>
            <w:vAlign w:val="bottom"/>
          </w:tcPr>
          <w:p>
            <w:pPr>
              <w:spacing w:after="0"/>
              <w:rPr>
                <w:sz w:val="24"/>
                <w:szCs w:val="24"/>
                <w:color w:val="auto"/>
              </w:rPr>
            </w:pPr>
          </w:p>
        </w:tc>
        <w:tc>
          <w:tcPr>
            <w:tcW w:w="240" w:type="dxa"/>
            <w:vAlign w:val="bottom"/>
            <w:gridSpan w:val="3"/>
            <w:vMerge w:val="restart"/>
          </w:tcPr>
          <w:p>
            <w:pPr>
              <w:jc w:val="right"/>
              <w:ind w:right="20"/>
              <w:spacing w:after="0"/>
              <w:rPr>
                <w:rFonts w:ascii="Times New Roman" w:cs="Times New Roman" w:eastAsia="Times New Roman" w:hAnsi="Times New Roman"/>
                <w:sz w:val="13"/>
                <w:szCs w:val="13"/>
                <w:color w:val="0000EE"/>
                <w:w w:val="87"/>
              </w:rPr>
            </w:pPr>
            <w:hyperlink r:id="rId175">
              <w:r>
                <w:rPr>
                  <w:rFonts w:ascii="Times New Roman" w:cs="Times New Roman" w:eastAsia="Times New Roman" w:hAnsi="Times New Roman"/>
                  <w:sz w:val="13"/>
                  <w:szCs w:val="13"/>
                  <w:color w:val="0000EE"/>
                  <w:w w:val="87"/>
                </w:rPr>
                <w:t>4.</w:t>
              </w:r>
              <w:r>
                <w:rPr>
                  <w:rFonts w:ascii="Times New Roman" w:cs="Times New Roman" w:eastAsia="Times New Roman" w:hAnsi="Times New Roman"/>
                  <w:sz w:val="13"/>
                  <w:szCs w:val="13"/>
                  <w:u w:val="single" w:color="auto"/>
                  <w:color w:val="0000EE"/>
                  <w:w w:val="87"/>
                </w:rPr>
                <w:t>15</w:t>
              </w:r>
            </w:hyperlink>
          </w:p>
        </w:tc>
        <w:tc>
          <w:tcPr>
            <w:tcW w:w="320" w:type="dxa"/>
            <w:vAlign w:val="bottom"/>
          </w:tcPr>
          <w:p>
            <w:pPr>
              <w:spacing w:after="0"/>
              <w:rPr>
                <w:sz w:val="24"/>
                <w:szCs w:val="24"/>
                <w:color w:val="auto"/>
              </w:rPr>
            </w:pPr>
          </w:p>
        </w:tc>
        <w:tc>
          <w:tcPr>
            <w:tcW w:w="6980" w:type="dxa"/>
            <w:vAlign w:val="bottom"/>
            <w:gridSpan w:val="21"/>
            <w:vMerge w:val="restart"/>
          </w:tcPr>
          <w:p>
            <w:pPr>
              <w:spacing w:after="0"/>
              <w:rPr>
                <w:rFonts w:ascii="Times New Roman" w:cs="Times New Roman" w:eastAsia="Times New Roman" w:hAnsi="Times New Roman"/>
                <w:sz w:val="13"/>
                <w:szCs w:val="13"/>
                <w:color w:val="0000EE"/>
              </w:rPr>
            </w:pPr>
            <w:hyperlink r:id="rId175">
              <w:r>
                <w:rPr>
                  <w:rFonts w:ascii="Times New Roman" w:cs="Times New Roman" w:eastAsia="Times New Roman" w:hAnsi="Times New Roman"/>
                  <w:sz w:val="13"/>
                  <w:szCs w:val="13"/>
                  <w:color w:val="0000EE"/>
                </w:rPr>
                <w:t>Executive Services Agreement dated August 26, 2024 by and between Capital Clean Energy Carriers Corp. and Capital GP L.L.C.</w:t>
              </w:r>
            </w:hyperlink>
          </w:p>
        </w:tc>
        <w:tc>
          <w:tcPr>
            <w:tcW w:w="120" w:type="dxa"/>
            <w:vAlign w:val="bottom"/>
            <w:tcBorders>
              <w:bottom w:val="single" w:sz="8" w:color="0000EE"/>
            </w:tcBorders>
            <w:gridSpan w:val="2"/>
            <w:vMerge w:val="continue"/>
          </w:tcPr>
          <w:p>
            <w:pPr>
              <w:spacing w:after="0"/>
              <w:rPr>
                <w:sz w:val="24"/>
                <w:szCs w:val="24"/>
                <w:color w:val="auto"/>
              </w:rPr>
            </w:pPr>
          </w:p>
        </w:tc>
        <w:tc>
          <w:tcPr>
            <w:tcW w:w="2600" w:type="dxa"/>
            <w:vAlign w:val="bottom"/>
            <w:gridSpan w:val="3"/>
            <w:vMerge w:val="restart"/>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80" w:type="dxa"/>
            <w:vAlign w:val="bottom"/>
            <w:vMerge w:val="restart"/>
          </w:tcPr>
          <w:p>
            <w:pPr>
              <w:spacing w:after="0" w:line="20" w:lineRule="exact"/>
              <w:rPr>
                <w:sz w:val="1"/>
                <w:szCs w:val="1"/>
                <w:color w:val="auto"/>
              </w:rPr>
            </w:pPr>
          </w:p>
        </w:tc>
        <w:tc>
          <w:tcPr>
            <w:tcW w:w="240" w:type="dxa"/>
            <w:vAlign w:val="bottom"/>
            <w:tcBorders>
              <w:bottom w:val="single" w:sz="8" w:color="0000EE"/>
            </w:tcBorders>
            <w:gridSpan w:val="3"/>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980" w:type="dxa"/>
            <w:vAlign w:val="bottom"/>
            <w:gridSpan w:val="21"/>
            <w:vMerge w:val="continu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80" w:type="dxa"/>
            <w:vAlign w:val="bottom"/>
            <w:vMerge w:val="continu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980" w:type="dxa"/>
            <w:vAlign w:val="bottom"/>
            <w:tcBorders>
              <w:bottom w:val="single" w:sz="8" w:color="0000EE"/>
            </w:tcBorders>
            <w:gridSpan w:val="21"/>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60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0" w:type="dxa"/>
            <w:vAlign w:val="bottom"/>
          </w:tcPr>
          <w:p>
            <w:pPr>
              <w:spacing w:after="0"/>
              <w:rPr>
                <w:sz w:val="21"/>
                <w:szCs w:val="21"/>
                <w:color w:val="auto"/>
              </w:rPr>
            </w:pPr>
          </w:p>
        </w:tc>
        <w:tc>
          <w:tcPr>
            <w:tcW w:w="220" w:type="dxa"/>
            <w:vAlign w:val="bottom"/>
            <w:gridSpan w:val="2"/>
            <w:vMerge w:val="restart"/>
          </w:tcPr>
          <w:p>
            <w:pPr>
              <w:jc w:val="right"/>
              <w:spacing w:after="0"/>
              <w:rPr>
                <w:rFonts w:ascii="Times New Roman" w:cs="Times New Roman" w:eastAsia="Times New Roman" w:hAnsi="Times New Roman"/>
                <w:sz w:val="13"/>
                <w:szCs w:val="13"/>
                <w:color w:val="0000EE"/>
                <w:w w:val="87"/>
              </w:rPr>
            </w:pPr>
            <w:hyperlink r:id="rId176">
              <w:r>
                <w:rPr>
                  <w:rFonts w:ascii="Times New Roman" w:cs="Times New Roman" w:eastAsia="Times New Roman" w:hAnsi="Times New Roman"/>
                  <w:sz w:val="13"/>
                  <w:szCs w:val="13"/>
                  <w:color w:val="0000EE"/>
                  <w:w w:val="87"/>
                </w:rPr>
                <w:t>4.</w:t>
              </w:r>
              <w:r>
                <w:rPr>
                  <w:rFonts w:ascii="Times New Roman" w:cs="Times New Roman" w:eastAsia="Times New Roman" w:hAnsi="Times New Roman"/>
                  <w:sz w:val="13"/>
                  <w:szCs w:val="13"/>
                  <w:u w:val="single" w:color="auto"/>
                  <w:color w:val="0000EE"/>
                  <w:w w:val="87"/>
                </w:rPr>
                <w:t>16</w:t>
              </w:r>
            </w:hyperlink>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gridSpan w:val="7"/>
            <w:vMerge w:val="restart"/>
          </w:tcPr>
          <w:p>
            <w:pPr>
              <w:spacing w:after="0"/>
              <w:rPr>
                <w:rFonts w:ascii="Times New Roman" w:cs="Times New Roman" w:eastAsia="Times New Roman" w:hAnsi="Times New Roman"/>
                <w:sz w:val="13"/>
                <w:szCs w:val="13"/>
                <w:color w:val="0000EE"/>
              </w:rPr>
            </w:pPr>
            <w:hyperlink r:id="rId176">
              <w:r>
                <w:rPr>
                  <w:rFonts w:ascii="Times New Roman" w:cs="Times New Roman" w:eastAsia="Times New Roman" w:hAnsi="Times New Roman"/>
                  <w:sz w:val="13"/>
                  <w:szCs w:val="13"/>
                  <w:color w:val="0000EE"/>
                </w:rPr>
                <w:t>Open Market Sales Agreement</w:t>
              </w:r>
            </w:hyperlink>
          </w:p>
        </w:tc>
        <w:tc>
          <w:tcPr>
            <w:tcW w:w="1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1"/>
                <w:szCs w:val="11"/>
                <w:color w:val="0000EE"/>
                <w:w w:val="87"/>
              </w:rPr>
              <w:t>SM</w:t>
            </w:r>
          </w:p>
        </w:tc>
        <w:tc>
          <w:tcPr>
            <w:tcW w:w="5140" w:type="dxa"/>
            <w:vAlign w:val="bottom"/>
            <w:gridSpan w:val="11"/>
            <w:vMerge w:val="restart"/>
          </w:tcPr>
          <w:p>
            <w:pPr>
              <w:ind w:left="40"/>
              <w:spacing w:after="0"/>
              <w:rPr>
                <w:rFonts w:ascii="Times New Roman" w:cs="Times New Roman" w:eastAsia="Times New Roman" w:hAnsi="Times New Roman"/>
                <w:sz w:val="13"/>
                <w:szCs w:val="13"/>
                <w:color w:val="0000EE"/>
              </w:rPr>
            </w:pPr>
            <w:hyperlink r:id="rId176">
              <w:r>
                <w:rPr>
                  <w:rFonts w:ascii="Times New Roman" w:cs="Times New Roman" w:eastAsia="Times New Roman" w:hAnsi="Times New Roman"/>
                  <w:sz w:val="13"/>
                  <w:szCs w:val="13"/>
                  <w:color w:val="0000EE"/>
                </w:rPr>
                <w:t>dated January 27, 2025 by and between Jefferies LLC and Capital Clean Energy Carriers Corp.</w:t>
              </w:r>
            </w:hyperlink>
          </w:p>
        </w:tc>
        <w:tc>
          <w:tcPr>
            <w:tcW w:w="12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1"/>
                <w:szCs w:val="11"/>
                <w:color w:val="0000EE"/>
                <w:w w:val="77"/>
              </w:rPr>
              <w:t>(9)</w:t>
            </w:r>
          </w:p>
        </w:tc>
        <w:tc>
          <w:tcPr>
            <w:tcW w:w="2640" w:type="dxa"/>
            <w:vAlign w:val="bottom"/>
            <w:gridSpan w:val="4"/>
            <w:vMerge w:val="restart"/>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80" w:type="dxa"/>
            <w:vAlign w:val="bottom"/>
            <w:vMerge w:val="restart"/>
          </w:tcPr>
          <w:p>
            <w:pPr>
              <w:spacing w:after="0" w:line="20" w:lineRule="exact"/>
              <w:rPr>
                <w:sz w:val="1"/>
                <w:szCs w:val="1"/>
                <w:color w:val="auto"/>
              </w:rPr>
            </w:pPr>
          </w:p>
        </w:tc>
        <w:tc>
          <w:tcPr>
            <w:tcW w:w="220" w:type="dxa"/>
            <w:vAlign w:val="bottom"/>
            <w:tcBorders>
              <w:bottom w:val="single" w:sz="8" w:color="0000EE"/>
            </w:tcBorders>
            <w:gridSpan w:val="2"/>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gridSpan w:val="7"/>
            <w:vMerge w:val="continue"/>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5140" w:type="dxa"/>
            <w:vAlign w:val="bottom"/>
            <w:gridSpan w:val="11"/>
            <w:vMerge w:val="continue"/>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2640" w:type="dxa"/>
            <w:vAlign w:val="bottom"/>
            <w:gridSpan w:val="4"/>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80" w:type="dxa"/>
            <w:vAlign w:val="bottom"/>
            <w:vMerge w:val="continu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Borders>
              <w:bottom w:val="single" w:sz="8" w:color="0000EE"/>
            </w:tcBorders>
            <w:gridSpan w:val="7"/>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5140" w:type="dxa"/>
            <w:vAlign w:val="bottom"/>
            <w:tcBorders>
              <w:bottom w:val="single" w:sz="8" w:color="0000EE"/>
            </w:tcBorders>
            <w:gridSpan w:val="11"/>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2640" w:type="dxa"/>
            <w:vAlign w:val="bottom"/>
            <w:gridSpan w:val="4"/>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EE"/>
              </w:rPr>
              <w:t>8.</w:t>
            </w:r>
            <w:r>
              <w:rPr>
                <w:rFonts w:ascii="Times New Roman" w:cs="Times New Roman" w:eastAsia="Times New Roman" w:hAnsi="Times New Roman"/>
                <w:sz w:val="13"/>
                <w:szCs w:val="13"/>
                <w:u w:val="single" w:color="auto"/>
                <w:color w:val="0000EE"/>
              </w:rPr>
              <w:t>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700" w:type="dxa"/>
            <w:vAlign w:val="bottom"/>
            <w:gridSpan w:val="26"/>
          </w:tcPr>
          <w:p>
            <w:pPr>
              <w:spacing w:after="0"/>
              <w:rPr>
                <w:sz w:val="20"/>
                <w:szCs w:val="20"/>
                <w:color w:val="auto"/>
              </w:rPr>
            </w:pPr>
            <w:r>
              <w:rPr>
                <w:rFonts w:ascii="Times New Roman" w:cs="Times New Roman" w:eastAsia="Times New Roman" w:hAnsi="Times New Roman"/>
                <w:sz w:val="13"/>
                <w:szCs w:val="13"/>
                <w:color w:val="0000EE"/>
              </w:rPr>
              <w:t>List of Subsidiaries of Capital Clean Energy Carriers Corp.</w:t>
            </w: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4160" w:type="dxa"/>
            <w:vAlign w:val="bottom"/>
            <w:gridSpan w:val="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80" w:type="dxa"/>
            <w:vAlign w:val="bottom"/>
          </w:tcPr>
          <w:p>
            <w:pPr>
              <w:spacing w:after="0"/>
              <w:rPr>
                <w:sz w:val="24"/>
                <w:szCs w:val="24"/>
                <w:color w:val="auto"/>
              </w:rPr>
            </w:pPr>
          </w:p>
        </w:tc>
        <w:tc>
          <w:tcPr>
            <w:tcW w:w="220" w:type="dxa"/>
            <w:vAlign w:val="bottom"/>
            <w:gridSpan w:val="2"/>
            <w:vMerge w:val="restart"/>
          </w:tcPr>
          <w:p>
            <w:pPr>
              <w:jc w:val="right"/>
              <w:spacing w:after="0"/>
              <w:rPr>
                <w:rFonts w:ascii="Times New Roman" w:cs="Times New Roman" w:eastAsia="Times New Roman" w:hAnsi="Times New Roman"/>
                <w:sz w:val="13"/>
                <w:szCs w:val="13"/>
                <w:color w:val="0000EE"/>
                <w:w w:val="87"/>
              </w:rPr>
            </w:pPr>
            <w:hyperlink r:id="rId177">
              <w:r>
                <w:rPr>
                  <w:rFonts w:ascii="Times New Roman" w:cs="Times New Roman" w:eastAsia="Times New Roman" w:hAnsi="Times New Roman"/>
                  <w:sz w:val="13"/>
                  <w:szCs w:val="13"/>
                  <w:color w:val="0000EE"/>
                  <w:w w:val="87"/>
                </w:rPr>
                <w:t>11.</w:t>
              </w:r>
              <w:r>
                <w:rPr>
                  <w:rFonts w:ascii="Times New Roman" w:cs="Times New Roman" w:eastAsia="Times New Roman" w:hAnsi="Times New Roman"/>
                  <w:sz w:val="13"/>
                  <w:szCs w:val="13"/>
                  <w:u w:val="single" w:color="auto"/>
                  <w:color w:val="0000EE"/>
                  <w:w w:val="87"/>
                </w:rPr>
                <w:t>1</w:t>
              </w:r>
            </w:hyperlink>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80" w:type="dxa"/>
            <w:vAlign w:val="bottom"/>
            <w:gridSpan w:val="13"/>
            <w:vMerge w:val="restart"/>
          </w:tcPr>
          <w:p>
            <w:pPr>
              <w:spacing w:after="0"/>
              <w:rPr>
                <w:rFonts w:ascii="Times New Roman" w:cs="Times New Roman" w:eastAsia="Times New Roman" w:hAnsi="Times New Roman"/>
                <w:sz w:val="13"/>
                <w:szCs w:val="13"/>
                <w:color w:val="0000EE"/>
              </w:rPr>
            </w:pPr>
            <w:hyperlink r:id="rId177">
              <w:r>
                <w:rPr>
                  <w:rFonts w:ascii="Times New Roman" w:cs="Times New Roman" w:eastAsia="Times New Roman" w:hAnsi="Times New Roman"/>
                  <w:sz w:val="13"/>
                  <w:szCs w:val="13"/>
                  <w:color w:val="0000EE"/>
                </w:rPr>
                <w:t>Insider Trading Policy of Capital Clean Energy Carriers Corp</w:t>
              </w:r>
            </w:hyperlink>
          </w:p>
        </w:tc>
        <w:tc>
          <w:tcPr>
            <w:tcW w:w="1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1"/>
                <w:szCs w:val="11"/>
                <w:color w:val="0000EE"/>
                <w:w w:val="89"/>
              </w:rPr>
              <w:t>.(8)</w:t>
            </w:r>
          </w:p>
        </w:tc>
        <w:tc>
          <w:tcPr>
            <w:tcW w:w="2100" w:type="dxa"/>
            <w:vAlign w:val="bottom"/>
            <w:gridSpan w:val="3"/>
            <w:vMerge w:val="restart"/>
          </w:tcPr>
          <w:p>
            <w:pPr>
              <w:spacing w:after="0"/>
              <w:rPr>
                <w:sz w:val="24"/>
                <w:szCs w:val="24"/>
                <w:color w:val="auto"/>
              </w:rPr>
            </w:pPr>
          </w:p>
        </w:tc>
        <w:tc>
          <w:tcPr>
            <w:tcW w:w="4160" w:type="dxa"/>
            <w:vAlign w:val="bottom"/>
            <w:gridSpan w:val="9"/>
            <w:vMerge w:val="restart"/>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80" w:type="dxa"/>
            <w:vAlign w:val="bottom"/>
            <w:vMerge w:val="restart"/>
          </w:tcPr>
          <w:p>
            <w:pPr>
              <w:spacing w:after="0" w:line="20" w:lineRule="exact"/>
              <w:rPr>
                <w:sz w:val="1"/>
                <w:szCs w:val="1"/>
                <w:color w:val="auto"/>
              </w:rPr>
            </w:pPr>
          </w:p>
        </w:tc>
        <w:tc>
          <w:tcPr>
            <w:tcW w:w="220" w:type="dxa"/>
            <w:vAlign w:val="bottom"/>
            <w:tcBorders>
              <w:bottom w:val="single" w:sz="8" w:color="0000EE"/>
            </w:tcBorders>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80" w:type="dxa"/>
            <w:vAlign w:val="bottom"/>
            <w:gridSpan w:val="13"/>
            <w:vMerge w:val="continue"/>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100" w:type="dxa"/>
            <w:vAlign w:val="bottom"/>
            <w:gridSpan w:val="3"/>
            <w:vMerge w:val="continue"/>
          </w:tcPr>
          <w:p>
            <w:pPr>
              <w:spacing w:after="0" w:line="20" w:lineRule="exact"/>
              <w:rPr>
                <w:sz w:val="1"/>
                <w:szCs w:val="1"/>
                <w:color w:val="auto"/>
              </w:rPr>
            </w:pPr>
          </w:p>
        </w:tc>
        <w:tc>
          <w:tcPr>
            <w:tcW w:w="4160" w:type="dxa"/>
            <w:vAlign w:val="bottom"/>
            <w:gridSpan w:val="9"/>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80" w:type="dxa"/>
            <w:vAlign w:val="bottom"/>
            <w:vMerge w:val="continu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80" w:type="dxa"/>
            <w:vAlign w:val="bottom"/>
            <w:tcBorders>
              <w:bottom w:val="single" w:sz="8" w:color="0000EE"/>
            </w:tcBorders>
            <w:gridSpan w:val="13"/>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100" w:type="dxa"/>
            <w:vAlign w:val="bottom"/>
            <w:gridSpan w:val="3"/>
            <w:vMerge w:val="continue"/>
          </w:tcPr>
          <w:p>
            <w:pPr>
              <w:spacing w:after="0" w:line="20" w:lineRule="exact"/>
              <w:rPr>
                <w:sz w:val="1"/>
                <w:szCs w:val="1"/>
                <w:color w:val="auto"/>
              </w:rPr>
            </w:pPr>
          </w:p>
        </w:tc>
        <w:tc>
          <w:tcPr>
            <w:tcW w:w="4160" w:type="dxa"/>
            <w:vAlign w:val="bottom"/>
            <w:gridSpan w:val="9"/>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32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0000EE"/>
              </w:rPr>
              <w:t>12.</w:t>
            </w:r>
            <w:r>
              <w:rPr>
                <w:rFonts w:ascii="Times New Roman" w:cs="Times New Roman" w:eastAsia="Times New Roman" w:hAnsi="Times New Roman"/>
                <w:sz w:val="13"/>
                <w:szCs w:val="13"/>
                <w:u w:val="single" w:color="auto"/>
                <w:color w:val="0000EE"/>
              </w:rPr>
              <w:t>1</w:t>
            </w:r>
          </w:p>
        </w:tc>
        <w:tc>
          <w:tcPr>
            <w:tcW w:w="320" w:type="dxa"/>
            <w:vAlign w:val="bottom"/>
          </w:tcPr>
          <w:p>
            <w:pPr>
              <w:spacing w:after="0"/>
              <w:rPr>
                <w:sz w:val="23"/>
                <w:szCs w:val="23"/>
                <w:color w:val="auto"/>
              </w:rPr>
            </w:pPr>
          </w:p>
        </w:tc>
        <w:tc>
          <w:tcPr>
            <w:tcW w:w="9700" w:type="dxa"/>
            <w:vAlign w:val="bottom"/>
            <w:gridSpan w:val="26"/>
          </w:tcPr>
          <w:p>
            <w:pPr>
              <w:spacing w:after="0"/>
              <w:rPr>
                <w:sz w:val="20"/>
                <w:szCs w:val="20"/>
                <w:color w:val="auto"/>
              </w:rPr>
            </w:pPr>
            <w:r>
              <w:rPr>
                <w:rFonts w:ascii="Times New Roman" w:cs="Times New Roman" w:eastAsia="Times New Roman" w:hAnsi="Times New Roman"/>
                <w:sz w:val="13"/>
                <w:szCs w:val="13"/>
                <w:color w:val="0000EE"/>
              </w:rPr>
              <w:t>Rule 13a-14(a)/15d-14(a) Certification of Capital Clean Energy Carriers Corp.’s Chief Executive Officer</w:t>
            </w: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3960" w:type="dxa"/>
            <w:vAlign w:val="bottom"/>
            <w:gridSpan w:val="13"/>
            <w:shd w:val="clear" w:color="auto" w:fill="0000EE"/>
          </w:tcPr>
          <w:p>
            <w:pPr>
              <w:spacing w:after="0" w:line="20" w:lineRule="exact"/>
              <w:rPr>
                <w:sz w:val="1"/>
                <w:szCs w:val="1"/>
                <w:color w:val="auto"/>
              </w:rPr>
            </w:pPr>
          </w:p>
        </w:tc>
        <w:tc>
          <w:tcPr>
            <w:tcW w:w="4160" w:type="dxa"/>
            <w:vAlign w:val="bottom"/>
            <w:tcBorders>
              <w:left w:val="single" w:sz="8" w:color="0000EE"/>
            </w:tcBorders>
            <w:gridSpan w:val="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32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0000EE"/>
              </w:rPr>
              <w:t>12.</w:t>
            </w:r>
            <w:r>
              <w:rPr>
                <w:rFonts w:ascii="Times New Roman" w:cs="Times New Roman" w:eastAsia="Times New Roman" w:hAnsi="Times New Roman"/>
                <w:sz w:val="13"/>
                <w:szCs w:val="13"/>
                <w:u w:val="single" w:color="auto"/>
                <w:color w:val="0000EE"/>
              </w:rPr>
              <w:t>2</w:t>
            </w:r>
          </w:p>
        </w:tc>
        <w:tc>
          <w:tcPr>
            <w:tcW w:w="320" w:type="dxa"/>
            <w:vAlign w:val="bottom"/>
          </w:tcPr>
          <w:p>
            <w:pPr>
              <w:spacing w:after="0"/>
              <w:rPr>
                <w:sz w:val="24"/>
                <w:szCs w:val="24"/>
                <w:color w:val="auto"/>
              </w:rPr>
            </w:pPr>
          </w:p>
        </w:tc>
        <w:tc>
          <w:tcPr>
            <w:tcW w:w="9700" w:type="dxa"/>
            <w:vAlign w:val="bottom"/>
            <w:gridSpan w:val="26"/>
          </w:tcPr>
          <w:p>
            <w:pPr>
              <w:spacing w:after="0"/>
              <w:rPr>
                <w:sz w:val="20"/>
                <w:szCs w:val="20"/>
                <w:color w:val="auto"/>
              </w:rPr>
            </w:pPr>
            <w:r>
              <w:rPr>
                <w:rFonts w:ascii="Times New Roman" w:cs="Times New Roman" w:eastAsia="Times New Roman" w:hAnsi="Times New Roman"/>
                <w:sz w:val="13"/>
                <w:szCs w:val="13"/>
                <w:color w:val="0000EE"/>
              </w:rPr>
              <w:t>Rule 13a-14(a)/15d-14(a) Certification of Capital Clean Energy Carriers Corp.’s Chief Financial Officer</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3960" w:type="dxa"/>
            <w:vAlign w:val="bottom"/>
            <w:gridSpan w:val="13"/>
            <w:shd w:val="clear" w:color="auto" w:fill="0000EE"/>
          </w:tcPr>
          <w:p>
            <w:pPr>
              <w:spacing w:after="0" w:line="20" w:lineRule="exact"/>
              <w:rPr>
                <w:sz w:val="1"/>
                <w:szCs w:val="1"/>
                <w:color w:val="auto"/>
              </w:rPr>
            </w:pPr>
          </w:p>
        </w:tc>
        <w:tc>
          <w:tcPr>
            <w:tcW w:w="4160" w:type="dxa"/>
            <w:vAlign w:val="bottom"/>
            <w:gridSpan w:val="9"/>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32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0000EE"/>
              </w:rPr>
              <w:t>13.</w:t>
            </w:r>
            <w:r>
              <w:rPr>
                <w:rFonts w:ascii="Times New Roman" w:cs="Times New Roman" w:eastAsia="Times New Roman" w:hAnsi="Times New Roman"/>
                <w:sz w:val="13"/>
                <w:szCs w:val="13"/>
                <w:u w:val="single" w:color="auto"/>
                <w:color w:val="0000EE"/>
              </w:rPr>
              <w:t>1</w:t>
            </w:r>
          </w:p>
        </w:tc>
        <w:tc>
          <w:tcPr>
            <w:tcW w:w="320" w:type="dxa"/>
            <w:vAlign w:val="bottom"/>
          </w:tcPr>
          <w:p>
            <w:pPr>
              <w:spacing w:after="0"/>
              <w:rPr>
                <w:sz w:val="24"/>
                <w:szCs w:val="24"/>
                <w:color w:val="auto"/>
              </w:rPr>
            </w:pPr>
          </w:p>
        </w:tc>
        <w:tc>
          <w:tcPr>
            <w:tcW w:w="10640" w:type="dxa"/>
            <w:vAlign w:val="bottom"/>
            <w:gridSpan w:val="29"/>
          </w:tcPr>
          <w:p>
            <w:pPr>
              <w:spacing w:after="0"/>
              <w:rPr>
                <w:sz w:val="20"/>
                <w:szCs w:val="20"/>
                <w:color w:val="auto"/>
              </w:rPr>
            </w:pPr>
            <w:r>
              <w:rPr>
                <w:rFonts w:ascii="Times New Roman" w:cs="Times New Roman" w:eastAsia="Times New Roman" w:hAnsi="Times New Roman"/>
                <w:sz w:val="13"/>
                <w:szCs w:val="13"/>
                <w:color w:val="0000EE"/>
              </w:rPr>
              <w:t>Capital Clean Energy Carriers Corp. Certification of Gerasimos (Jerry) Kalogiratos, Chief Executive Officer, pursuant to 18 U.S.C. Section 1350, as adopted pursuant to Section 906 of the U.S.</w:t>
            </w: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700" w:type="dxa"/>
            <w:vAlign w:val="bottom"/>
            <w:tcBorders>
              <w:top w:val="single" w:sz="8" w:color="0000EE"/>
            </w:tcBorders>
            <w:gridSpan w:val="26"/>
          </w:tcPr>
          <w:p>
            <w:pPr>
              <w:spacing w:after="0" w:line="140" w:lineRule="exact"/>
              <w:rPr>
                <w:sz w:val="20"/>
                <w:szCs w:val="20"/>
                <w:color w:val="auto"/>
              </w:rPr>
            </w:pPr>
            <w:r>
              <w:rPr>
                <w:rFonts w:ascii="Times New Roman" w:cs="Times New Roman" w:eastAsia="Times New Roman" w:hAnsi="Times New Roman"/>
                <w:sz w:val="13"/>
                <w:szCs w:val="13"/>
                <w:color w:val="0000EE"/>
              </w:rPr>
              <w:t>Sarbanes-Oxley Act of 2002*</w:t>
            </w:r>
          </w:p>
        </w:tc>
        <w:tc>
          <w:tcPr>
            <w:tcW w:w="140" w:type="dxa"/>
            <w:vAlign w:val="bottom"/>
            <w:tcBorders>
              <w:top w:val="single" w:sz="8" w:color="0000EE"/>
            </w:tcBorders>
          </w:tcPr>
          <w:p>
            <w:pPr>
              <w:spacing w:after="0"/>
              <w:rPr>
                <w:sz w:val="12"/>
                <w:szCs w:val="12"/>
                <w:color w:val="auto"/>
              </w:rPr>
            </w:pPr>
          </w:p>
        </w:tc>
        <w:tc>
          <w:tcPr>
            <w:tcW w:w="740" w:type="dxa"/>
            <w:vAlign w:val="bottom"/>
            <w:tcBorders>
              <w:top w:val="single" w:sz="8" w:color="0000EE"/>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9"/>
        </w:trPr>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Borders>
              <w:top w:val="single" w:sz="8" w:color="0000EE"/>
            </w:tcBorders>
            <w:gridSpan w:val="4"/>
          </w:tcPr>
          <w:p>
            <w:pPr>
              <w:spacing w:after="0"/>
              <w:rPr>
                <w:sz w:val="24"/>
                <w:szCs w:val="24"/>
                <w:color w:val="auto"/>
              </w:rPr>
            </w:pPr>
          </w:p>
        </w:tc>
        <w:tc>
          <w:tcPr>
            <w:tcW w:w="3960" w:type="dxa"/>
            <w:vAlign w:val="bottom"/>
            <w:gridSpan w:val="13"/>
          </w:tcPr>
          <w:p>
            <w:pPr>
              <w:jc w:val="right"/>
              <w:ind w:right="400"/>
              <w:spacing w:after="0"/>
              <w:rPr>
                <w:sz w:val="20"/>
                <w:szCs w:val="20"/>
                <w:color w:val="auto"/>
              </w:rPr>
            </w:pPr>
            <w:r>
              <w:rPr>
                <w:rFonts w:ascii="Times New Roman" w:cs="Times New Roman" w:eastAsia="Times New Roman" w:hAnsi="Times New Roman"/>
                <w:sz w:val="13"/>
                <w:szCs w:val="13"/>
                <w:color w:val="auto"/>
              </w:rPr>
              <w:t>139</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3"/>
                <w:szCs w:val="13"/>
                <w:color w:val="0000EE"/>
                <w:w w:val="98"/>
              </w:rPr>
              <w:t>Table of Contents</w:t>
            </w:r>
          </w:p>
        </w:tc>
        <w:tc>
          <w:tcPr>
            <w:tcW w:w="0" w:type="dxa"/>
            <w:vAlign w:val="bottom"/>
          </w:tcPr>
          <w:p>
            <w:pPr>
              <w:spacing w:after="0"/>
              <w:rPr>
                <w:sz w:val="1"/>
                <w:szCs w:val="1"/>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00" w:top="599" w:right="319" w:bottom="1440" w:gutter="0" w:footer="0" w:header="0"/>
        </w:sectPr>
      </w:pPr>
    </w:p>
    <w:bookmarkStart w:id="140" w:name="page141"/>
    <w:bookmarkEnd w:id="140"/>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240" w:type="dxa"/>
            <w:vAlign w:val="bottom"/>
            <w:gridSpan w:val="2"/>
          </w:tcPr>
          <w:p>
            <w:pPr>
              <w:spacing w:after="0"/>
              <w:rPr>
                <w:sz w:val="20"/>
                <w:szCs w:val="20"/>
                <w:color w:val="auto"/>
              </w:rPr>
            </w:pPr>
            <w:r>
              <w:rPr>
                <w:rFonts w:ascii="Times New Roman" w:cs="Times New Roman" w:eastAsia="Times New Roman" w:hAnsi="Times New Roman"/>
                <w:sz w:val="13"/>
                <w:szCs w:val="13"/>
                <w:color w:val="0000EE"/>
                <w:w w:val="96"/>
              </w:rPr>
              <w:t>13.</w:t>
            </w:r>
            <w:r>
              <w:rPr>
                <w:rFonts w:ascii="Times New Roman" w:cs="Times New Roman" w:eastAsia="Times New Roman" w:hAnsi="Times New Roman"/>
                <w:sz w:val="13"/>
                <w:szCs w:val="13"/>
                <w:u w:val="single" w:color="auto"/>
                <w:color w:val="0000EE"/>
                <w:w w:val="96"/>
              </w:rPr>
              <w:t>2</w:t>
            </w:r>
          </w:p>
        </w:tc>
        <w:tc>
          <w:tcPr>
            <w:tcW w:w="400" w:type="dxa"/>
            <w:vAlign w:val="bottom"/>
          </w:tcPr>
          <w:p>
            <w:pPr>
              <w:spacing w:after="0"/>
              <w:rPr>
                <w:sz w:val="12"/>
                <w:szCs w:val="12"/>
                <w:color w:val="auto"/>
              </w:rPr>
            </w:pPr>
          </w:p>
        </w:tc>
        <w:tc>
          <w:tcPr>
            <w:tcW w:w="10500" w:type="dxa"/>
            <w:vAlign w:val="bottom"/>
            <w:gridSpan w:val="5"/>
          </w:tcPr>
          <w:p>
            <w:pPr>
              <w:spacing w:after="0"/>
              <w:rPr>
                <w:sz w:val="20"/>
                <w:szCs w:val="20"/>
                <w:color w:val="auto"/>
              </w:rPr>
            </w:pPr>
            <w:r>
              <w:rPr>
                <w:rFonts w:ascii="Times New Roman" w:cs="Times New Roman" w:eastAsia="Times New Roman" w:hAnsi="Times New Roman"/>
                <w:sz w:val="13"/>
                <w:szCs w:val="13"/>
                <w:color w:val="0000EE"/>
              </w:rPr>
              <w:t>Capital Clean Energy Carriers Corp. Certification of Nikolaos Kalapotharakos, Chief Financial Officer, pursuant to 18 U.S.C. Section 1350, as adopted pursuant to Section 906 of the U.S.</w:t>
            </w:r>
          </w:p>
        </w:tc>
        <w:tc>
          <w:tcPr>
            <w:tcW w:w="0" w:type="dxa"/>
            <w:vAlign w:val="bottom"/>
          </w:tcPr>
          <w:p>
            <w:pPr>
              <w:spacing w:after="0"/>
              <w:rPr>
                <w:sz w:val="1"/>
                <w:szCs w:val="1"/>
                <w:color w:val="auto"/>
              </w:rPr>
            </w:pPr>
          </w:p>
        </w:tc>
      </w:tr>
      <w:tr>
        <w:trPr>
          <w:trHeight w:val="140"/>
        </w:trPr>
        <w:tc>
          <w:tcPr>
            <w:tcW w:w="22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500" w:type="dxa"/>
            <w:vAlign w:val="bottom"/>
            <w:tcBorders>
              <w:top w:val="single" w:sz="8" w:color="0000EE"/>
            </w:tcBorders>
            <w:gridSpan w:val="5"/>
          </w:tcPr>
          <w:p>
            <w:pPr>
              <w:spacing w:after="0" w:line="140" w:lineRule="exact"/>
              <w:rPr>
                <w:sz w:val="20"/>
                <w:szCs w:val="20"/>
                <w:color w:val="auto"/>
              </w:rPr>
            </w:pPr>
            <w:r>
              <w:rPr>
                <w:rFonts w:ascii="Times New Roman" w:cs="Times New Roman" w:eastAsia="Times New Roman" w:hAnsi="Times New Roman"/>
                <w:sz w:val="13"/>
                <w:szCs w:val="13"/>
                <w:color w:val="0000EE"/>
              </w:rPr>
              <w:t>Sarbanes-Oxley Act of 2002*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240" w:type="dxa"/>
            <w:vAlign w:val="bottom"/>
            <w:gridSpan w:val="2"/>
          </w:tcPr>
          <w:p>
            <w:pPr>
              <w:spacing w:after="0"/>
              <w:rPr>
                <w:sz w:val="20"/>
                <w:szCs w:val="20"/>
                <w:color w:val="auto"/>
              </w:rPr>
            </w:pPr>
            <w:r>
              <w:rPr>
                <w:rFonts w:ascii="Times New Roman" w:cs="Times New Roman" w:eastAsia="Times New Roman" w:hAnsi="Times New Roman"/>
                <w:sz w:val="13"/>
                <w:szCs w:val="13"/>
                <w:color w:val="0000EE"/>
                <w:w w:val="96"/>
              </w:rPr>
              <w:t>15.</w:t>
            </w:r>
            <w:r>
              <w:rPr>
                <w:rFonts w:ascii="Times New Roman" w:cs="Times New Roman" w:eastAsia="Times New Roman" w:hAnsi="Times New Roman"/>
                <w:sz w:val="13"/>
                <w:szCs w:val="13"/>
                <w:u w:val="single" w:color="auto"/>
                <w:color w:val="0000EE"/>
                <w:w w:val="96"/>
              </w:rPr>
              <w:t>1</w:t>
            </w:r>
          </w:p>
        </w:tc>
        <w:tc>
          <w:tcPr>
            <w:tcW w:w="400" w:type="dxa"/>
            <w:vAlign w:val="bottom"/>
          </w:tcPr>
          <w:p>
            <w:pPr>
              <w:spacing w:after="0"/>
              <w:rPr>
                <w:sz w:val="24"/>
                <w:szCs w:val="24"/>
                <w:color w:val="auto"/>
              </w:rPr>
            </w:pPr>
          </w:p>
        </w:tc>
        <w:tc>
          <w:tcPr>
            <w:tcW w:w="10500" w:type="dxa"/>
            <w:vAlign w:val="bottom"/>
            <w:gridSpan w:val="5"/>
          </w:tcPr>
          <w:p>
            <w:pPr>
              <w:spacing w:after="0"/>
              <w:rPr>
                <w:sz w:val="20"/>
                <w:szCs w:val="20"/>
                <w:color w:val="auto"/>
              </w:rPr>
            </w:pPr>
            <w:r>
              <w:rPr>
                <w:rFonts w:ascii="Times New Roman" w:cs="Times New Roman" w:eastAsia="Times New Roman" w:hAnsi="Times New Roman"/>
                <w:sz w:val="13"/>
                <w:szCs w:val="13"/>
                <w:color w:val="0000EE"/>
              </w:rPr>
              <w:t>Consent of Deloitte Certified Public Accountants S.A., independent registered public accounting firm.</w:t>
            </w:r>
          </w:p>
        </w:tc>
        <w:tc>
          <w:tcPr>
            <w:tcW w:w="0" w:type="dxa"/>
            <w:vAlign w:val="bottom"/>
          </w:tcPr>
          <w:p>
            <w:pPr>
              <w:spacing w:after="0"/>
              <w:rPr>
                <w:sz w:val="1"/>
                <w:szCs w:val="1"/>
                <w:color w:val="auto"/>
              </w:rPr>
            </w:pPr>
          </w:p>
        </w:tc>
      </w:tr>
      <w:tr>
        <w:trPr>
          <w:trHeight w:val="279"/>
        </w:trPr>
        <w:tc>
          <w:tcPr>
            <w:tcW w:w="220" w:type="dxa"/>
            <w:vAlign w:val="bottom"/>
            <w:tcBorders>
              <w:top w:val="single" w:sz="8" w:color="0000EE"/>
              <w:bottom w:val="single" w:sz="8" w:color="0000EE"/>
            </w:tcBorders>
            <w:vMerge w:val="restart"/>
          </w:tcPr>
          <w:p>
            <w:pPr>
              <w:spacing w:after="0"/>
              <w:rPr>
                <w:rFonts w:ascii="Times New Roman" w:cs="Times New Roman" w:eastAsia="Times New Roman" w:hAnsi="Times New Roman"/>
                <w:sz w:val="13"/>
                <w:szCs w:val="13"/>
                <w:color w:val="0000EE"/>
                <w:w w:val="87"/>
              </w:rPr>
            </w:pPr>
            <w:hyperlink r:id="rId178">
              <w:r>
                <w:rPr>
                  <w:rFonts w:ascii="Times New Roman" w:cs="Times New Roman" w:eastAsia="Times New Roman" w:hAnsi="Times New Roman"/>
                  <w:sz w:val="13"/>
                  <w:szCs w:val="13"/>
                  <w:color w:val="0000EE"/>
                  <w:w w:val="87"/>
                </w:rPr>
                <w:t>97.</w:t>
              </w:r>
              <w:r>
                <w:rPr>
                  <w:rFonts w:ascii="Times New Roman" w:cs="Times New Roman" w:eastAsia="Times New Roman" w:hAnsi="Times New Roman"/>
                  <w:sz w:val="13"/>
                  <w:szCs w:val="13"/>
                  <w:u w:val="single" w:color="auto"/>
                  <w:color w:val="0000EE"/>
                  <w:w w:val="87"/>
                </w:rPr>
                <w:t>1</w:t>
              </w:r>
            </w:hyperlink>
          </w:p>
        </w:tc>
        <w:tc>
          <w:tcPr>
            <w:tcW w:w="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4600" w:type="dxa"/>
            <w:vAlign w:val="bottom"/>
            <w:tcBorders>
              <w:top w:val="single" w:sz="8" w:color="0000EE"/>
              <w:bottom w:val="single" w:sz="8" w:color="0000EE"/>
            </w:tcBorders>
            <w:gridSpan w:val="2"/>
            <w:vMerge w:val="restart"/>
          </w:tcPr>
          <w:p>
            <w:pPr>
              <w:spacing w:after="0"/>
              <w:rPr>
                <w:rFonts w:ascii="Times New Roman" w:cs="Times New Roman" w:eastAsia="Times New Roman" w:hAnsi="Times New Roman"/>
                <w:sz w:val="13"/>
                <w:szCs w:val="13"/>
                <w:color w:val="0000EE"/>
              </w:rPr>
            </w:pPr>
            <w:hyperlink r:id="rId178">
              <w:r>
                <w:rPr>
                  <w:rFonts w:ascii="Times New Roman" w:cs="Times New Roman" w:eastAsia="Times New Roman" w:hAnsi="Times New Roman"/>
                  <w:sz w:val="13"/>
                  <w:szCs w:val="13"/>
                  <w:color w:val="0000EE"/>
                </w:rPr>
                <w:t>Policy Regarding the Recovery Erroneously Awarded Incentive-Based Compensation</w:t>
              </w:r>
            </w:hyperlink>
          </w:p>
        </w:tc>
        <w:tc>
          <w:tcPr>
            <w:tcW w:w="12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11"/>
                <w:szCs w:val="11"/>
                <w:color w:val="0000EE"/>
                <w:w w:val="77"/>
              </w:rPr>
              <w:t>(8)</w:t>
            </w:r>
          </w:p>
        </w:tc>
        <w:tc>
          <w:tcPr>
            <w:tcW w:w="720" w:type="dxa"/>
            <w:vAlign w:val="bottom"/>
            <w:tcBorders>
              <w:top w:val="single" w:sz="8" w:color="0000EE"/>
              <w:bottom w:val="single" w:sz="8" w:color="0000EE"/>
            </w:tcBorders>
            <w:vMerge w:val="restart"/>
          </w:tcPr>
          <w:p>
            <w:pPr>
              <w:spacing w:after="0"/>
              <w:rPr>
                <w:sz w:val="24"/>
                <w:szCs w:val="24"/>
                <w:color w:val="auto"/>
              </w:rPr>
            </w:pPr>
          </w:p>
        </w:tc>
        <w:tc>
          <w:tcPr>
            <w:tcW w:w="50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0000EE"/>
            </w:tcBorders>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0" w:type="dxa"/>
            <w:vAlign w:val="bottom"/>
            <w:tcBorders>
              <w:bottom w:val="single" w:sz="8" w:color="0000EE"/>
            </w:tcBorders>
            <w:gridSpan w:val="2"/>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20" w:type="dxa"/>
            <w:vAlign w:val="bottom"/>
            <w:tcBorders>
              <w:bottom w:val="single" w:sz="8" w:color="0000EE"/>
            </w:tcBorders>
            <w:vMerge w:val="continue"/>
          </w:tcPr>
          <w:p>
            <w:pPr>
              <w:spacing w:after="0" w:line="20" w:lineRule="exact"/>
              <w:rPr>
                <w:sz w:val="1"/>
                <w:szCs w:val="1"/>
                <w:color w:val="auto"/>
              </w:rPr>
            </w:pPr>
          </w:p>
        </w:tc>
        <w:tc>
          <w:tcPr>
            <w:tcW w:w="50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0" w:type="dxa"/>
            <w:vAlign w:val="bottom"/>
            <w:tcBorders>
              <w:bottom w:val="single" w:sz="8" w:color="0000EE"/>
            </w:tcBorders>
            <w:gridSpan w:val="2"/>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50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6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101.INS</w:t>
            </w:r>
          </w:p>
        </w:tc>
        <w:tc>
          <w:tcPr>
            <w:tcW w:w="1050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Inline XBRL Instance Document</w:t>
            </w:r>
          </w:p>
        </w:tc>
        <w:tc>
          <w:tcPr>
            <w:tcW w:w="0" w:type="dxa"/>
            <w:vAlign w:val="bottom"/>
          </w:tcPr>
          <w:p>
            <w:pPr>
              <w:spacing w:after="0"/>
              <w:rPr>
                <w:sz w:val="1"/>
                <w:szCs w:val="1"/>
                <w:color w:val="auto"/>
              </w:rPr>
            </w:pPr>
          </w:p>
        </w:tc>
      </w:tr>
      <w:tr>
        <w:trPr>
          <w:trHeight w:val="319"/>
        </w:trPr>
        <w:tc>
          <w:tcPr>
            <w:tcW w:w="6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101.SCH</w:t>
            </w:r>
          </w:p>
        </w:tc>
        <w:tc>
          <w:tcPr>
            <w:tcW w:w="1050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Inline XBRL Taxonomy Extension Schema Document</w:t>
            </w:r>
          </w:p>
        </w:tc>
        <w:tc>
          <w:tcPr>
            <w:tcW w:w="0" w:type="dxa"/>
            <w:vAlign w:val="bottom"/>
          </w:tcPr>
          <w:p>
            <w:pPr>
              <w:spacing w:after="0"/>
              <w:rPr>
                <w:sz w:val="1"/>
                <w:szCs w:val="1"/>
                <w:color w:val="auto"/>
              </w:rPr>
            </w:pPr>
          </w:p>
        </w:tc>
      </w:tr>
      <w:tr>
        <w:trPr>
          <w:trHeight w:val="319"/>
        </w:trPr>
        <w:tc>
          <w:tcPr>
            <w:tcW w:w="6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101.CAL</w:t>
            </w:r>
          </w:p>
        </w:tc>
        <w:tc>
          <w:tcPr>
            <w:tcW w:w="1050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tc>
        <w:tc>
          <w:tcPr>
            <w:tcW w:w="0" w:type="dxa"/>
            <w:vAlign w:val="bottom"/>
          </w:tcPr>
          <w:p>
            <w:pPr>
              <w:spacing w:after="0"/>
              <w:rPr>
                <w:sz w:val="1"/>
                <w:szCs w:val="1"/>
                <w:color w:val="auto"/>
              </w:rPr>
            </w:pPr>
          </w:p>
        </w:tc>
      </w:tr>
      <w:tr>
        <w:trPr>
          <w:trHeight w:val="319"/>
        </w:trPr>
        <w:tc>
          <w:tcPr>
            <w:tcW w:w="6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101.DEF</w:t>
            </w:r>
          </w:p>
        </w:tc>
        <w:tc>
          <w:tcPr>
            <w:tcW w:w="1050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Inline XBRL Taxonomy Definition Linkbase Document</w:t>
            </w:r>
          </w:p>
        </w:tc>
        <w:tc>
          <w:tcPr>
            <w:tcW w:w="0" w:type="dxa"/>
            <w:vAlign w:val="bottom"/>
          </w:tcPr>
          <w:p>
            <w:pPr>
              <w:spacing w:after="0"/>
              <w:rPr>
                <w:sz w:val="1"/>
                <w:szCs w:val="1"/>
                <w:color w:val="auto"/>
              </w:rPr>
            </w:pPr>
          </w:p>
        </w:tc>
      </w:tr>
      <w:tr>
        <w:trPr>
          <w:trHeight w:val="319"/>
        </w:trPr>
        <w:tc>
          <w:tcPr>
            <w:tcW w:w="6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101.LAB</w:t>
            </w:r>
          </w:p>
        </w:tc>
        <w:tc>
          <w:tcPr>
            <w:tcW w:w="1050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 Document</w:t>
            </w:r>
          </w:p>
        </w:tc>
        <w:tc>
          <w:tcPr>
            <w:tcW w:w="0" w:type="dxa"/>
            <w:vAlign w:val="bottom"/>
          </w:tcPr>
          <w:p>
            <w:pPr>
              <w:spacing w:after="0"/>
              <w:rPr>
                <w:sz w:val="1"/>
                <w:szCs w:val="1"/>
                <w:color w:val="auto"/>
              </w:rPr>
            </w:pPr>
          </w:p>
        </w:tc>
      </w:tr>
      <w:tr>
        <w:trPr>
          <w:trHeight w:val="319"/>
        </w:trPr>
        <w:tc>
          <w:tcPr>
            <w:tcW w:w="6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101.PRE</w:t>
            </w:r>
          </w:p>
        </w:tc>
        <w:tc>
          <w:tcPr>
            <w:tcW w:w="1050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720" w:hanging="648"/>
        <w:spacing w:after="0"/>
        <w:tabs>
          <w:tab w:leader="none" w:pos="720" w:val="left"/>
        </w:tabs>
        <w:numPr>
          <w:ilvl w:val="1"/>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Interactive Data File (Inline XBRL)</w:t>
      </w:r>
    </w:p>
    <w:p>
      <w:pPr>
        <w:spacing w:after="0" w:line="333" w:lineRule="exact"/>
        <w:rPr>
          <w:rFonts w:ascii="Times New Roman" w:cs="Times New Roman" w:eastAsia="Times New Roman" w:hAnsi="Times New Roman"/>
          <w:sz w:val="13"/>
          <w:szCs w:val="13"/>
          <w:color w:val="auto"/>
        </w:rPr>
      </w:pPr>
    </w:p>
    <w:p>
      <w:pPr>
        <w:ind w:left="240" w:hanging="240"/>
        <w:spacing w:after="0"/>
        <w:tabs>
          <w:tab w:leader="none" w:pos="240"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Previously furnished as a Report on Form 6-K with the SEC on August 26, 2024.</w:t>
      </w:r>
    </w:p>
    <w:p>
      <w:pPr>
        <w:spacing w:after="0" w:line="191" w:lineRule="exact"/>
        <w:rPr>
          <w:rFonts w:ascii="Times New Roman" w:cs="Times New Roman" w:eastAsia="Times New Roman" w:hAnsi="Times New Roman"/>
          <w:sz w:val="12"/>
          <w:szCs w:val="12"/>
          <w:color w:val="auto"/>
        </w:rPr>
      </w:pPr>
    </w:p>
    <w:p>
      <w:pPr>
        <w:ind w:left="240" w:hanging="240"/>
        <w:spacing w:after="0" w:line="289" w:lineRule="auto"/>
        <w:tabs>
          <w:tab w:leader="none" w:pos="240"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Previously filed as an exhibit to Capital Clean Energy Carriers Corp.’s (formerly known as Capital Product Partners L.P.) Annual Report on Form 20-F for the year ended December 31, 2021 and filed with the SEC on April 27, 2022.</w:t>
      </w:r>
    </w:p>
    <w:p>
      <w:pPr>
        <w:spacing w:after="0" w:line="146" w:lineRule="exact"/>
        <w:rPr>
          <w:rFonts w:ascii="Times New Roman" w:cs="Times New Roman" w:eastAsia="Times New Roman" w:hAnsi="Times New Roman"/>
          <w:sz w:val="12"/>
          <w:szCs w:val="12"/>
          <w:color w:val="auto"/>
        </w:rPr>
      </w:pPr>
    </w:p>
    <w:p>
      <w:pPr>
        <w:ind w:left="240" w:hanging="240"/>
        <w:spacing w:after="0"/>
        <w:tabs>
          <w:tab w:leader="none" w:pos="240"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Previously furnished as a Report on Form 6-K with the SEC on September 30, 2011.</w:t>
      </w:r>
    </w:p>
    <w:p>
      <w:pPr>
        <w:spacing w:after="0" w:line="191" w:lineRule="exact"/>
        <w:rPr>
          <w:rFonts w:ascii="Times New Roman" w:cs="Times New Roman" w:eastAsia="Times New Roman" w:hAnsi="Times New Roman"/>
          <w:sz w:val="12"/>
          <w:szCs w:val="12"/>
          <w:color w:val="auto"/>
        </w:rPr>
      </w:pPr>
    </w:p>
    <w:p>
      <w:pPr>
        <w:ind w:left="240" w:hanging="240"/>
        <w:spacing w:after="0" w:line="289" w:lineRule="auto"/>
        <w:tabs>
          <w:tab w:leader="none" w:pos="240"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Previously filed as an exhibit to Capital Clean Energy Carriers Corp.’s (formerly known as Capital Product Partners L.P.) Registration Statement on Form F-1 (File No. 333-141422), filed with the SEC on March 19, 2007 and hereby incorporated by reference to such Registration Statement.</w:t>
      </w:r>
    </w:p>
    <w:p>
      <w:pPr>
        <w:spacing w:after="0" w:line="146" w:lineRule="exact"/>
        <w:rPr>
          <w:rFonts w:ascii="Times New Roman" w:cs="Times New Roman" w:eastAsia="Times New Roman" w:hAnsi="Times New Roman"/>
          <w:sz w:val="12"/>
          <w:szCs w:val="12"/>
          <w:color w:val="auto"/>
        </w:rPr>
      </w:pPr>
    </w:p>
    <w:p>
      <w:pPr>
        <w:ind w:left="240" w:hanging="240"/>
        <w:spacing w:after="0"/>
        <w:tabs>
          <w:tab w:leader="none" w:pos="240"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Previously filed as an exhibit to the registrant’s Annual Report on Form 20-F for the year ended December 31, 2012 and filed with the SEC on February 5, 2013.</w:t>
      </w:r>
    </w:p>
    <w:p>
      <w:pPr>
        <w:spacing w:after="0" w:line="191" w:lineRule="exact"/>
        <w:rPr>
          <w:rFonts w:ascii="Times New Roman" w:cs="Times New Roman" w:eastAsia="Times New Roman" w:hAnsi="Times New Roman"/>
          <w:sz w:val="12"/>
          <w:szCs w:val="12"/>
          <w:color w:val="auto"/>
        </w:rPr>
      </w:pPr>
    </w:p>
    <w:p>
      <w:pPr>
        <w:ind w:left="240" w:hanging="240"/>
        <w:spacing w:after="0" w:line="289" w:lineRule="auto"/>
        <w:tabs>
          <w:tab w:leader="none" w:pos="240"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Previously filed as an exhibit to Capital Clean Energy Carriers Corp.’s (formerly known as Capital Product Partners L.P.) Annual Report on Form 20-F for the year ended December 31, 2019 and filed with the SEC on February 28, 2020.</w:t>
      </w:r>
    </w:p>
    <w:p>
      <w:pPr>
        <w:spacing w:after="0" w:line="146" w:lineRule="exact"/>
        <w:rPr>
          <w:rFonts w:ascii="Times New Roman" w:cs="Times New Roman" w:eastAsia="Times New Roman" w:hAnsi="Times New Roman"/>
          <w:sz w:val="12"/>
          <w:szCs w:val="12"/>
          <w:color w:val="auto"/>
        </w:rPr>
      </w:pPr>
    </w:p>
    <w:p>
      <w:pPr>
        <w:ind w:left="240" w:hanging="240"/>
        <w:spacing w:after="0"/>
        <w:tabs>
          <w:tab w:leader="none" w:pos="240"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Previously furnished as Exhibit II to Capital Clean Energy Carriers Corp.’s (formerly known as Capital Product Partners L.P.) Report on Form 6-K with the SEC on November 13, 2023.</w:t>
      </w:r>
    </w:p>
    <w:p>
      <w:pPr>
        <w:spacing w:after="0" w:line="191" w:lineRule="exact"/>
        <w:rPr>
          <w:rFonts w:ascii="Times New Roman" w:cs="Times New Roman" w:eastAsia="Times New Roman" w:hAnsi="Times New Roman"/>
          <w:sz w:val="12"/>
          <w:szCs w:val="12"/>
          <w:color w:val="auto"/>
        </w:rPr>
      </w:pPr>
    </w:p>
    <w:p>
      <w:pPr>
        <w:ind w:left="240" w:hanging="240"/>
        <w:spacing w:after="0"/>
        <w:tabs>
          <w:tab w:leader="none" w:pos="240"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Previously filed as an exhibit to Capital Clean Energy Carriers Corp.’s Annual Report on Form 20--F for the year ended December 31, 2024 and filed with the SEC on April 17, 2025.</w:t>
      </w:r>
    </w:p>
    <w:p>
      <w:pPr>
        <w:spacing w:after="0" w:line="191" w:lineRule="exact"/>
        <w:rPr>
          <w:rFonts w:ascii="Times New Roman" w:cs="Times New Roman" w:eastAsia="Times New Roman" w:hAnsi="Times New Roman"/>
          <w:sz w:val="12"/>
          <w:szCs w:val="12"/>
          <w:color w:val="auto"/>
        </w:rPr>
      </w:pPr>
    </w:p>
    <w:p>
      <w:pPr>
        <w:ind w:left="240" w:hanging="240"/>
        <w:spacing w:after="0"/>
        <w:tabs>
          <w:tab w:leader="none" w:pos="240"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Previously furnished as Exhibit 1.1 to Capital Clean Energy Carriers Corp.’s Report on Form 6-K filed with the SEC on January 27, 2025.</w:t>
      </w:r>
    </w:p>
    <w:p>
      <w:pPr>
        <w:spacing w:after="0" w:line="161" w:lineRule="exact"/>
        <w:rPr>
          <w:sz w:val="20"/>
          <w:szCs w:val="20"/>
          <w:color w:val="auto"/>
        </w:rPr>
      </w:pPr>
    </w:p>
    <w:p>
      <w:pPr>
        <w:ind w:left="240" w:hanging="240"/>
        <w:spacing w:after="0"/>
        <w:tabs>
          <w:tab w:leader="none" w:pos="240"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Furnished only and not filed</w:t>
      </w:r>
    </w:p>
    <w:p>
      <w:pPr>
        <w:spacing w:after="0" w:line="168"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140</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19" w:right="31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Annual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CAPITAL CLEAN ENERGY CARRIERS CORP.</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/s/</w:t>
            </w:r>
          </w:p>
        </w:tc>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Gerasimos</w:t>
            </w:r>
          </w:p>
        </w:tc>
        <w:tc>
          <w:tcPr>
            <w:tcW w:w="20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(Jerry)</w:t>
            </w:r>
          </w:p>
        </w:tc>
        <w:tc>
          <w:tcPr>
            <w:tcW w:w="0" w:type="dxa"/>
            <w:vAlign w:val="bottom"/>
          </w:tcPr>
          <w:p>
            <w:pPr>
              <w:spacing w:after="0"/>
              <w:rPr>
                <w:sz w:val="1"/>
                <w:szCs w:val="1"/>
                <w:color w:val="auto"/>
              </w:rPr>
            </w:pPr>
          </w:p>
        </w:tc>
      </w:tr>
      <w:tr>
        <w:trPr>
          <w:trHeight w:val="172"/>
        </w:trPr>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Kalogiratos</w:t>
            </w:r>
          </w:p>
        </w:tc>
        <w:tc>
          <w:tcPr>
            <w:tcW w:w="420" w:type="dxa"/>
            <w:vAlign w:val="bottom"/>
            <w:tcBorders>
              <w:bottom w:val="single" w:sz="8" w:color="auto"/>
            </w:tcBorders>
          </w:tcPr>
          <w:p>
            <w:pPr>
              <w:spacing w:after="0"/>
              <w:rPr>
                <w:sz w:val="14"/>
                <w:szCs w:val="14"/>
                <w:color w:val="auto"/>
              </w:rPr>
            </w:pPr>
          </w:p>
        </w:tc>
        <w:tc>
          <w:tcPr>
            <w:tcW w:w="1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Gerasimos (Jerry) Kalogiratos</w:t>
            </w:r>
          </w:p>
        </w:tc>
        <w:tc>
          <w:tcPr>
            <w:tcW w:w="0" w:type="dxa"/>
            <w:vAlign w:val="bottom"/>
          </w:tcPr>
          <w:p>
            <w:pPr>
              <w:spacing w:after="0"/>
              <w:rPr>
                <w:sz w:val="1"/>
                <w:szCs w:val="1"/>
                <w:color w:val="auto"/>
              </w:rPr>
            </w:pPr>
          </w:p>
        </w:tc>
      </w:tr>
      <w:tr>
        <w:trPr>
          <w:trHeight w:val="137"/>
        </w:trPr>
        <w:tc>
          <w:tcPr>
            <w:tcW w:w="40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Name:</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Chief Executive Officer</w:t>
            </w:r>
          </w:p>
        </w:tc>
        <w:tc>
          <w:tcPr>
            <w:tcW w:w="0" w:type="dxa"/>
            <w:vAlign w:val="bottom"/>
          </w:tcPr>
          <w:p>
            <w:pPr>
              <w:spacing w:after="0"/>
              <w:rPr>
                <w:sz w:val="1"/>
                <w:szCs w:val="1"/>
                <w:color w:val="auto"/>
              </w:rPr>
            </w:pPr>
          </w:p>
        </w:tc>
      </w:tr>
      <w:tr>
        <w:trPr>
          <w:trHeight w:val="173"/>
        </w:trPr>
        <w:tc>
          <w:tcPr>
            <w:tcW w:w="1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Dated: April 27, 2026</w:t>
            </w: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ind w:left="5580"/>
        <w:spacing w:after="0"/>
        <w:tabs>
          <w:tab w:leader="none" w:pos="10320" w:val="left"/>
        </w:tabs>
        <w:rPr>
          <w:sz w:val="20"/>
          <w:szCs w:val="20"/>
          <w:color w:val="auto"/>
        </w:rPr>
      </w:pPr>
      <w:r>
        <w:rPr>
          <w:rFonts w:ascii="Times New Roman" w:cs="Times New Roman" w:eastAsia="Times New Roman" w:hAnsi="Times New Roman"/>
          <w:sz w:val="13"/>
          <w:szCs w:val="13"/>
          <w:color w:val="auto"/>
        </w:rPr>
        <w:t>141</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4" w:right="31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175"/>
        </w:trPr>
        <w:tc>
          <w:tcPr>
            <w:tcW w:w="1086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INDEX TO FINANCIAL STATEMENTS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1086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CAPITAL CLEAN ENERGY CARRIERS CORP.</w:t>
            </w:r>
          </w:p>
        </w:tc>
        <w:tc>
          <w:tcPr>
            <w:tcW w:w="4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2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5100" w:type="dxa"/>
            <w:vAlign w:val="bottom"/>
            <w:tcBorders>
              <w:bottom w:val="single" w:sz="8" w:color="0000EE"/>
            </w:tcBorders>
            <w:gridSpan w:val="4"/>
          </w:tcPr>
          <w:p>
            <w:pPr>
              <w:spacing w:after="0" w:line="100" w:lineRule="exact"/>
              <w:rPr>
                <w:sz w:val="20"/>
                <w:szCs w:val="20"/>
                <w:color w:val="auto"/>
              </w:rPr>
            </w:pPr>
            <w:r>
              <w:rPr>
                <w:rFonts w:ascii="Times New Roman" w:cs="Times New Roman" w:eastAsia="Times New Roman" w:hAnsi="Times New Roman"/>
                <w:sz w:val="11"/>
                <w:szCs w:val="11"/>
                <w:color w:val="0000EE"/>
              </w:rPr>
              <w:t>Report of Independent Registered Public Accounting Firm (PCAOB ID No. 1163)</w:t>
            </w:r>
          </w:p>
        </w:tc>
        <w:tc>
          <w:tcPr>
            <w:tcW w:w="5760" w:type="dxa"/>
            <w:vAlign w:val="bottom"/>
            <w:gridSpan w:val="3"/>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0000EE"/>
            </w:tcBorders>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0000EE"/>
              </w:rPr>
              <w:t>F-1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34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rPr>
              <w:t>Consolidated Balance Sheets as of December 31, 2025 and 2024</w:t>
            </w:r>
          </w:p>
        </w:tc>
        <w:tc>
          <w:tcPr>
            <w:tcW w:w="7420" w:type="dxa"/>
            <w:vAlign w:val="bottom"/>
            <w:gridSpan w:val="5"/>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3"/>
                <w:szCs w:val="13"/>
                <w:b w:val="1"/>
                <w:bCs w:val="1"/>
                <w:color w:val="0000EE"/>
              </w:rPr>
              <w:t>F-2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0860" w:type="dxa"/>
            <w:vAlign w:val="bottom"/>
            <w:gridSpan w:val="7"/>
          </w:tcPr>
          <w:p>
            <w:pPr>
              <w:spacing w:after="0" w:line="140" w:lineRule="exact"/>
              <w:rPr>
                <w:sz w:val="20"/>
                <w:szCs w:val="20"/>
                <w:color w:val="auto"/>
              </w:rPr>
            </w:pPr>
            <w:r>
              <w:rPr>
                <w:rFonts w:ascii="Times New Roman" w:cs="Times New Roman" w:eastAsia="Times New Roman" w:hAnsi="Times New Roman"/>
                <w:sz w:val="13"/>
                <w:szCs w:val="13"/>
                <w:color w:val="0000EE"/>
              </w:rPr>
              <w:t>Consolidated Statements of Comprehensive Income for the years ended December 31, 2025, 2024 and 2023</w:t>
            </w:r>
          </w:p>
        </w:tc>
        <w:tc>
          <w:tcPr>
            <w:tcW w:w="420" w:type="dxa"/>
            <w:vAlign w:val="bottom"/>
            <w:gridSpan w:val="3"/>
          </w:tcPr>
          <w:p>
            <w:pPr>
              <w:jc w:val="center"/>
              <w:spacing w:after="0" w:line="140" w:lineRule="exact"/>
              <w:rPr>
                <w:sz w:val="20"/>
                <w:szCs w:val="20"/>
                <w:color w:val="auto"/>
              </w:rPr>
            </w:pPr>
            <w:r>
              <w:rPr>
                <w:rFonts w:ascii="Times New Roman" w:cs="Times New Roman" w:eastAsia="Times New Roman" w:hAnsi="Times New Roman"/>
                <w:sz w:val="13"/>
                <w:szCs w:val="13"/>
                <w:b w:val="1"/>
                <w:bCs w:val="1"/>
                <w:color w:val="0000EE"/>
              </w:rPr>
              <w:t>F-3</w:t>
            </w:r>
          </w:p>
        </w:tc>
        <w:tc>
          <w:tcPr>
            <w:tcW w:w="0" w:type="dxa"/>
            <w:vAlign w:val="bottom"/>
          </w:tcPr>
          <w:p>
            <w:pPr>
              <w:spacing w:after="0"/>
              <w:rPr>
                <w:sz w:val="1"/>
                <w:szCs w:val="1"/>
                <w:color w:val="auto"/>
              </w:rPr>
            </w:pPr>
          </w:p>
        </w:tc>
      </w:tr>
      <w:tr>
        <w:trPr>
          <w:trHeight w:val="20"/>
        </w:trPr>
        <w:tc>
          <w:tcPr>
            <w:tcW w:w="2520" w:type="dxa"/>
            <w:vAlign w:val="bottom"/>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400" w:type="dxa"/>
            <w:vAlign w:val="bottom"/>
            <w:tcBorders>
              <w:bottom w:val="single" w:sz="8" w:color="0000EE"/>
            </w:tcBorders>
            <w:gridSpan w:val="6"/>
          </w:tcPr>
          <w:p>
            <w:pPr>
              <w:spacing w:after="0" w:line="140" w:lineRule="exact"/>
              <w:rPr>
                <w:sz w:val="20"/>
                <w:szCs w:val="20"/>
                <w:color w:val="auto"/>
              </w:rPr>
            </w:pPr>
            <w:r>
              <w:rPr>
                <w:rFonts w:ascii="Times New Roman" w:cs="Times New Roman" w:eastAsia="Times New Roman" w:hAnsi="Times New Roman"/>
                <w:sz w:val="13"/>
                <w:szCs w:val="13"/>
                <w:color w:val="0000EE"/>
              </w:rPr>
              <w:t>Consolidated Statements of Changes in Shareholders’ Equity and Partners’ Capital for the years ended December 31, 2025, 2024 and 2023</w:t>
            </w:r>
          </w:p>
        </w:tc>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0000EE"/>
            </w:tcBorders>
          </w:tcPr>
          <w:p>
            <w:pPr>
              <w:jc w:val="center"/>
              <w:spacing w:after="0" w:line="140" w:lineRule="exact"/>
              <w:rPr>
                <w:sz w:val="20"/>
                <w:szCs w:val="20"/>
                <w:color w:val="auto"/>
              </w:rPr>
            </w:pPr>
            <w:r>
              <w:rPr>
                <w:rFonts w:ascii="Times New Roman" w:cs="Times New Roman" w:eastAsia="Times New Roman" w:hAnsi="Times New Roman"/>
                <w:sz w:val="13"/>
                <w:szCs w:val="13"/>
                <w:b w:val="1"/>
                <w:bCs w:val="1"/>
                <w:color w:val="0000EE"/>
              </w:rPr>
              <w:t>F-4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60" w:type="dxa"/>
            <w:vAlign w:val="bottom"/>
            <w:gridSpan w:val="7"/>
          </w:tcPr>
          <w:p>
            <w:pPr>
              <w:spacing w:after="0" w:line="140" w:lineRule="exact"/>
              <w:rPr>
                <w:sz w:val="20"/>
                <w:szCs w:val="20"/>
                <w:color w:val="auto"/>
              </w:rPr>
            </w:pPr>
            <w:r>
              <w:rPr>
                <w:rFonts w:ascii="Times New Roman" w:cs="Times New Roman" w:eastAsia="Times New Roman" w:hAnsi="Times New Roman"/>
                <w:sz w:val="13"/>
                <w:szCs w:val="13"/>
                <w:color w:val="0000EE"/>
              </w:rPr>
              <w:t>Consolidated Statements of Cash Flows for the years ended December 31, 2025, 2024 and 2023</w:t>
            </w:r>
          </w:p>
        </w:tc>
        <w:tc>
          <w:tcPr>
            <w:tcW w:w="420" w:type="dxa"/>
            <w:vAlign w:val="bottom"/>
            <w:gridSpan w:val="3"/>
          </w:tcPr>
          <w:p>
            <w:pPr>
              <w:jc w:val="center"/>
              <w:spacing w:after="0" w:line="140" w:lineRule="exact"/>
              <w:rPr>
                <w:sz w:val="20"/>
                <w:szCs w:val="20"/>
                <w:color w:val="auto"/>
              </w:rPr>
            </w:pPr>
            <w:r>
              <w:rPr>
                <w:rFonts w:ascii="Times New Roman" w:cs="Times New Roman" w:eastAsia="Times New Roman" w:hAnsi="Times New Roman"/>
                <w:sz w:val="13"/>
                <w:szCs w:val="13"/>
                <w:b w:val="1"/>
                <w:bCs w:val="1"/>
                <w:color w:val="0000EE"/>
              </w:rPr>
              <w:t>F-5</w:t>
            </w:r>
          </w:p>
        </w:tc>
        <w:tc>
          <w:tcPr>
            <w:tcW w:w="0" w:type="dxa"/>
            <w:vAlign w:val="bottom"/>
          </w:tcPr>
          <w:p>
            <w:pPr>
              <w:spacing w:after="0"/>
              <w:rPr>
                <w:sz w:val="1"/>
                <w:szCs w:val="1"/>
                <w:color w:val="auto"/>
              </w:rPr>
            </w:pPr>
          </w:p>
        </w:tc>
      </w:tr>
      <w:tr>
        <w:trPr>
          <w:trHeight w:val="140"/>
        </w:trPr>
        <w:tc>
          <w:tcPr>
            <w:tcW w:w="5100" w:type="dxa"/>
            <w:vAlign w:val="bottom"/>
            <w:tcBorders>
              <w:top w:val="single" w:sz="8" w:color="0000EE"/>
            </w:tcBorders>
            <w:gridSpan w:val="4"/>
          </w:tcPr>
          <w:p>
            <w:pPr>
              <w:spacing w:after="0" w:line="140" w:lineRule="exact"/>
              <w:rPr>
                <w:sz w:val="20"/>
                <w:szCs w:val="20"/>
                <w:color w:val="auto"/>
              </w:rPr>
            </w:pPr>
            <w:r>
              <w:rPr>
                <w:rFonts w:ascii="Times New Roman" w:cs="Times New Roman" w:eastAsia="Times New Roman" w:hAnsi="Times New Roman"/>
                <w:sz w:val="13"/>
                <w:szCs w:val="13"/>
                <w:color w:val="0000EE"/>
              </w:rPr>
              <w:t>Notes to the Consolidated Financial Statements</w:t>
            </w:r>
          </w:p>
        </w:tc>
        <w:tc>
          <w:tcPr>
            <w:tcW w:w="576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0000EE"/>
            </w:tcBorders>
          </w:tcPr>
          <w:p>
            <w:pPr>
              <w:jc w:val="center"/>
              <w:spacing w:after="0" w:line="140" w:lineRule="exact"/>
              <w:rPr>
                <w:sz w:val="20"/>
                <w:szCs w:val="20"/>
                <w:color w:val="auto"/>
              </w:rPr>
            </w:pPr>
            <w:r>
              <w:rPr>
                <w:rFonts w:ascii="Times New Roman" w:cs="Times New Roman" w:eastAsia="Times New Roman" w:hAnsi="Times New Roman"/>
                <w:sz w:val="13"/>
                <w:szCs w:val="13"/>
                <w:b w:val="1"/>
                <w:bCs w:val="1"/>
                <w:color w:val="0000EE"/>
              </w:rPr>
              <w:t>F-6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84" w:right="3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shareholders and the Board of Directors of Capital Clean Energy Carriers Corp.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Opinion on the Financial Statements</w:t>
      </w:r>
    </w:p>
    <w:p>
      <w:pPr>
        <w:spacing w:after="0" w:line="112"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3"/>
          <w:szCs w:val="13"/>
          <w:color w:val="auto"/>
        </w:rPr>
        <w:t>We have audited the accompanying consolidated balance sheets of Capital Clean Energy Carriers Corp. and subsidiaries (the "Company") as of December 31, 2025 and 2024, the related consolidated statements of comprehensive income, changes in shareholders’ equity and partners’ capital,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81"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3"/>
          <w:szCs w:val="13"/>
          <w:i w:val="1"/>
          <w:iCs w:val="1"/>
          <w:color w:val="auto"/>
        </w:rPr>
        <w:t>Internal Control - Integrated Framework (2013)</w:t>
      </w:r>
      <w:r>
        <w:rPr>
          <w:rFonts w:ascii="Times New Roman" w:cs="Times New Roman" w:eastAsia="Times New Roman" w:hAnsi="Times New Roman"/>
          <w:sz w:val="13"/>
          <w:szCs w:val="13"/>
          <w:color w:val="auto"/>
        </w:rPr>
        <w:t xml:space="preserve"> issued by the Committee of Sponsoring Organizations of the Treadway Commission and our report dated April 27, 2026, expressed an unqualified opinion on the Company's internal control over financial reporting.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11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Critical Audit Matters</w:t>
      </w:r>
    </w:p>
    <w:p>
      <w:pPr>
        <w:spacing w:after="0" w:line="11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Critical audit matters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Deloitte Certified Public Accountants S.A.</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Athens, Greece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April 27, 2026</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have served as the Company's auditor since 2006.</w:t>
      </w:r>
    </w:p>
    <w:p>
      <w:pPr>
        <w:spacing w:after="0" w:line="120" w:lineRule="exact"/>
        <w:rPr>
          <w:sz w:val="20"/>
          <w:szCs w:val="20"/>
          <w:color w:val="auto"/>
        </w:rPr>
      </w:pPr>
    </w:p>
    <w:p>
      <w:pPr>
        <w:jc w:val="right"/>
        <w:spacing w:after="0"/>
        <w:tabs>
          <w:tab w:leader="none" w:pos="920" w:val="left"/>
        </w:tabs>
        <w:rPr>
          <w:sz w:val="20"/>
          <w:szCs w:val="20"/>
          <w:color w:val="auto"/>
        </w:rPr>
      </w:pPr>
      <w:r>
        <w:rPr>
          <w:rFonts w:ascii="Times New Roman" w:cs="Times New Roman" w:eastAsia="Times New Roman" w:hAnsi="Times New Roman"/>
          <w:sz w:val="13"/>
          <w:szCs w:val="13"/>
          <w:color w:val="auto"/>
        </w:rPr>
        <w:t>F- 1</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3"/>
          <w:szCs w:val="13"/>
          <w:b w:val="1"/>
          <w:bCs w:val="1"/>
          <w:color w:val="auto"/>
        </w:rPr>
        <w:t>Capital Clean Energy Carriers 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United States Dollars, except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7167880" cy="2025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3">
                      <a:extLst>
                        <a:ext uri="{28A0092B-C50C-407E-A947-70E740481C1C}"/>
                      </a:extLst>
                    </a:blip>
                    <a:srcRect/>
                    <a:stretch>
                      <a:fillRect/>
                    </a:stretch>
                  </pic:blipFill>
                  <pic:spPr bwMode="auto">
                    <a:xfrm>
                      <a:off x="0" y="0"/>
                      <a:ext cx="7167880" cy="20256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7340" w:type="dxa"/>
            <w:vAlign w:val="bottom"/>
            <w:tcBorders>
              <w:bottom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00" w:type="dxa"/>
            <w:vAlign w:val="bottom"/>
            <w:tcBorders>
              <w:bottom w:val="single" w:sz="8" w:color="auto"/>
            </w:tcBorders>
            <w:shd w:val="clear" w:color="auto" w:fill="CCEEFF"/>
          </w:tcPr>
          <w:p>
            <w:pPr>
              <w:spacing w:after="0"/>
              <w:rPr>
                <w:sz w:val="24"/>
                <w:szCs w:val="24"/>
                <w:color w:val="auto"/>
              </w:rPr>
            </w:pPr>
          </w:p>
        </w:tc>
        <w:tc>
          <w:tcPr>
            <w:tcW w:w="17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As of December 31, 2025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720" w:type="dxa"/>
            <w:vAlign w:val="bottom"/>
            <w:tcBorders>
              <w:bottom w:val="single" w:sz="8" w:color="auto"/>
            </w:tcBorders>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0" w:type="dxa"/>
            <w:vAlign w:val="bottom"/>
          </w:tcPr>
          <w:p>
            <w:pPr>
              <w:spacing w:after="0"/>
              <w:rPr>
                <w:sz w:val="1"/>
                <w:szCs w:val="1"/>
                <w:color w:val="auto"/>
              </w:rPr>
            </w:pPr>
          </w:p>
        </w:tc>
      </w:tr>
      <w:tr>
        <w:trPr>
          <w:trHeight w:val="135"/>
        </w:trPr>
        <w:tc>
          <w:tcPr>
            <w:tcW w:w="734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2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273,843</w:t>
            </w:r>
          </w:p>
        </w:tc>
        <w:tc>
          <w:tcPr>
            <w:tcW w:w="28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312,654</w:t>
            </w:r>
          </w:p>
        </w:tc>
        <w:tc>
          <w:tcPr>
            <w:tcW w:w="0" w:type="dxa"/>
            <w:vAlign w:val="bottom"/>
          </w:tcPr>
          <w:p>
            <w:pPr>
              <w:spacing w:after="0"/>
              <w:rPr>
                <w:sz w:val="1"/>
                <w:szCs w:val="1"/>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Restricted cash (Note 8)</w:t>
            </w:r>
          </w:p>
        </w:tc>
        <w:tc>
          <w:tcPr>
            <w:tcW w:w="200" w:type="dxa"/>
            <w:vAlign w:val="bottom"/>
            <w:shd w:val="clear" w:color="auto" w:fill="CCEEFF"/>
          </w:tcPr>
          <w:p>
            <w:pPr>
              <w:spacing w:after="0"/>
              <w:rPr>
                <w:sz w:val="13"/>
                <w:szCs w:val="13"/>
                <w:color w:val="auto"/>
              </w:rPr>
            </w:pPr>
          </w:p>
        </w:tc>
        <w:tc>
          <w:tcPr>
            <w:tcW w:w="1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7,024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Trade accounts receivable</w:t>
            </w:r>
          </w:p>
        </w:tc>
        <w:tc>
          <w:tcPr>
            <w:tcW w:w="200" w:type="dxa"/>
            <w:vAlign w:val="bottom"/>
            <w:shd w:val="clear" w:color="auto" w:fill="CCEEFF"/>
          </w:tcPr>
          <w:p>
            <w:pPr>
              <w:spacing w:after="0"/>
              <w:rPr>
                <w:sz w:val="13"/>
                <w:szCs w:val="13"/>
                <w:color w:val="auto"/>
              </w:rPr>
            </w:pPr>
          </w:p>
        </w:tc>
        <w:tc>
          <w:tcPr>
            <w:tcW w:w="1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8,437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3,689</w:t>
            </w:r>
          </w:p>
        </w:tc>
        <w:tc>
          <w:tcPr>
            <w:tcW w:w="0" w:type="dxa"/>
            <w:vAlign w:val="bottom"/>
          </w:tcPr>
          <w:p>
            <w:pPr>
              <w:spacing w:after="0"/>
              <w:rPr>
                <w:sz w:val="1"/>
                <w:szCs w:val="1"/>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Prepayments and other assets</w:t>
            </w:r>
          </w:p>
        </w:tc>
        <w:tc>
          <w:tcPr>
            <w:tcW w:w="200" w:type="dxa"/>
            <w:vAlign w:val="bottom"/>
            <w:shd w:val="clear" w:color="auto" w:fill="CCEEFF"/>
          </w:tcPr>
          <w:p>
            <w:pPr>
              <w:spacing w:after="0"/>
              <w:rPr>
                <w:sz w:val="13"/>
                <w:szCs w:val="13"/>
                <w:color w:val="auto"/>
              </w:rPr>
            </w:pPr>
          </w:p>
        </w:tc>
        <w:tc>
          <w:tcPr>
            <w:tcW w:w="1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7,437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7,194</w:t>
            </w:r>
          </w:p>
        </w:tc>
        <w:tc>
          <w:tcPr>
            <w:tcW w:w="0" w:type="dxa"/>
            <w:vAlign w:val="bottom"/>
          </w:tcPr>
          <w:p>
            <w:pPr>
              <w:spacing w:after="0"/>
              <w:rPr>
                <w:sz w:val="1"/>
                <w:szCs w:val="1"/>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Due from related party (Note 5)</w:t>
            </w:r>
          </w:p>
        </w:tc>
        <w:tc>
          <w:tcPr>
            <w:tcW w:w="200" w:type="dxa"/>
            <w:vAlign w:val="bottom"/>
            <w:shd w:val="clear" w:color="auto" w:fill="CCEEFF"/>
          </w:tcPr>
          <w:p>
            <w:pPr>
              <w:spacing w:after="0"/>
              <w:rPr>
                <w:sz w:val="13"/>
                <w:szCs w:val="13"/>
                <w:color w:val="auto"/>
              </w:rPr>
            </w:pPr>
          </w:p>
        </w:tc>
        <w:tc>
          <w:tcPr>
            <w:tcW w:w="1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1,131</w:t>
            </w:r>
          </w:p>
        </w:tc>
        <w:tc>
          <w:tcPr>
            <w:tcW w:w="0" w:type="dxa"/>
            <w:vAlign w:val="bottom"/>
          </w:tcPr>
          <w:p>
            <w:pPr>
              <w:spacing w:after="0"/>
              <w:rPr>
                <w:sz w:val="1"/>
                <w:szCs w:val="1"/>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Inventories</w:t>
            </w:r>
          </w:p>
        </w:tc>
        <w:tc>
          <w:tcPr>
            <w:tcW w:w="200" w:type="dxa"/>
            <w:vAlign w:val="bottom"/>
            <w:shd w:val="clear" w:color="auto" w:fill="CCEEFF"/>
          </w:tcPr>
          <w:p>
            <w:pPr>
              <w:spacing w:after="0"/>
              <w:rPr>
                <w:sz w:val="13"/>
                <w:szCs w:val="13"/>
                <w:color w:val="auto"/>
              </w:rPr>
            </w:pPr>
          </w:p>
        </w:tc>
        <w:tc>
          <w:tcPr>
            <w:tcW w:w="1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3,982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4,427</w:t>
            </w:r>
          </w:p>
        </w:tc>
        <w:tc>
          <w:tcPr>
            <w:tcW w:w="0" w:type="dxa"/>
            <w:vAlign w:val="bottom"/>
          </w:tcPr>
          <w:p>
            <w:pPr>
              <w:spacing w:after="0"/>
              <w:rPr>
                <w:sz w:val="1"/>
                <w:szCs w:val="1"/>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Claims</w:t>
            </w:r>
          </w:p>
        </w:tc>
        <w:tc>
          <w:tcPr>
            <w:tcW w:w="200" w:type="dxa"/>
            <w:vAlign w:val="bottom"/>
            <w:shd w:val="clear" w:color="auto" w:fill="CCEEFF"/>
          </w:tcPr>
          <w:p>
            <w:pPr>
              <w:spacing w:after="0"/>
              <w:rPr>
                <w:sz w:val="13"/>
                <w:szCs w:val="13"/>
                <w:color w:val="auto"/>
              </w:rPr>
            </w:pPr>
          </w:p>
        </w:tc>
        <w:tc>
          <w:tcPr>
            <w:tcW w:w="1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1,044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w:t>
            </w:r>
          </w:p>
        </w:tc>
        <w:tc>
          <w:tcPr>
            <w:tcW w:w="0" w:type="dxa"/>
            <w:vAlign w:val="bottom"/>
          </w:tcPr>
          <w:p>
            <w:pPr>
              <w:spacing w:after="0"/>
              <w:rPr>
                <w:sz w:val="1"/>
                <w:szCs w:val="1"/>
                <w:color w:val="auto"/>
              </w:rPr>
            </w:pPr>
          </w:p>
        </w:tc>
      </w:tr>
      <w:tr>
        <w:trPr>
          <w:trHeight w:val="172"/>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assets of discontinued operations (Note 3)</w:t>
            </w:r>
          </w:p>
        </w:tc>
        <w:tc>
          <w:tcPr>
            <w:tcW w:w="20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124,238</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75,583</w:t>
            </w:r>
          </w:p>
        </w:tc>
        <w:tc>
          <w:tcPr>
            <w:tcW w:w="0" w:type="dxa"/>
            <w:vAlign w:val="bottom"/>
          </w:tcPr>
          <w:p>
            <w:pPr>
              <w:spacing w:after="0"/>
              <w:rPr>
                <w:sz w:val="1"/>
                <w:szCs w:val="1"/>
                <w:color w:val="auto"/>
              </w:rPr>
            </w:pPr>
          </w:p>
        </w:tc>
      </w:tr>
      <w:tr>
        <w:trPr>
          <w:trHeight w:val="150"/>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200" w:type="dxa"/>
            <w:vAlign w:val="bottom"/>
            <w:tcBorders>
              <w:bottom w:val="single" w:sz="8" w:color="auto"/>
            </w:tcBorders>
            <w:shd w:val="clear" w:color="auto" w:fill="CCEEFF"/>
          </w:tcPr>
          <w:p>
            <w:pPr>
              <w:spacing w:after="0"/>
              <w:rPr>
                <w:sz w:val="13"/>
                <w:szCs w:val="13"/>
                <w:color w:val="auto"/>
              </w:rPr>
            </w:pPr>
          </w:p>
        </w:tc>
        <w:tc>
          <w:tcPr>
            <w:tcW w:w="17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426,005</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405,543</w:t>
            </w:r>
          </w:p>
        </w:tc>
        <w:tc>
          <w:tcPr>
            <w:tcW w:w="0" w:type="dxa"/>
            <w:vAlign w:val="bottom"/>
          </w:tcPr>
          <w:p>
            <w:pPr>
              <w:spacing w:after="0"/>
              <w:rPr>
                <w:sz w:val="1"/>
                <w:szCs w:val="1"/>
                <w:color w:val="auto"/>
              </w:rPr>
            </w:pPr>
          </w:p>
        </w:tc>
      </w:tr>
      <w:tr>
        <w:trPr>
          <w:trHeight w:val="137"/>
        </w:trPr>
        <w:tc>
          <w:tcPr>
            <w:tcW w:w="73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b w:val="1"/>
                <w:bCs w:val="1"/>
                <w:color w:val="auto"/>
              </w:rPr>
              <w:t>Fixed assets</w:t>
            </w:r>
          </w:p>
        </w:tc>
        <w:tc>
          <w:tcPr>
            <w:tcW w:w="20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Advances for vessels under construction - related party (Notes 5, 6)</w:t>
            </w:r>
          </w:p>
        </w:tc>
        <w:tc>
          <w:tcPr>
            <w:tcW w:w="200" w:type="dxa"/>
            <w:vAlign w:val="bottom"/>
            <w:shd w:val="clear" w:color="auto" w:fill="CCEEFF"/>
          </w:tcPr>
          <w:p>
            <w:pPr>
              <w:spacing w:after="0"/>
              <w:rPr>
                <w:sz w:val="13"/>
                <w:szCs w:val="13"/>
                <w:color w:val="auto"/>
              </w:rPr>
            </w:pPr>
          </w:p>
        </w:tc>
        <w:tc>
          <w:tcPr>
            <w:tcW w:w="1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54,000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54,000</w:t>
            </w:r>
          </w:p>
        </w:tc>
        <w:tc>
          <w:tcPr>
            <w:tcW w:w="0" w:type="dxa"/>
            <w:vAlign w:val="bottom"/>
          </w:tcPr>
          <w:p>
            <w:pPr>
              <w:spacing w:after="0"/>
              <w:rPr>
                <w:sz w:val="1"/>
                <w:szCs w:val="1"/>
                <w:color w:val="auto"/>
              </w:rPr>
            </w:pPr>
          </w:p>
        </w:tc>
      </w:tr>
      <w:tr>
        <w:trPr>
          <w:trHeight w:val="172"/>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Vessels, net and vessels under construction (Notes 5, 6)</w:t>
            </w:r>
          </w:p>
        </w:tc>
        <w:tc>
          <w:tcPr>
            <w:tcW w:w="20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3,516,778</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3,289,660</w:t>
            </w:r>
          </w:p>
        </w:tc>
        <w:tc>
          <w:tcPr>
            <w:tcW w:w="0" w:type="dxa"/>
            <w:vAlign w:val="bottom"/>
          </w:tcPr>
          <w:p>
            <w:pPr>
              <w:spacing w:after="0"/>
              <w:rPr>
                <w:sz w:val="1"/>
                <w:szCs w:val="1"/>
                <w:color w:val="auto"/>
              </w:rPr>
            </w:pPr>
          </w:p>
        </w:tc>
      </w:tr>
      <w:tr>
        <w:trPr>
          <w:trHeight w:val="150"/>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fixed assets</w:t>
            </w:r>
          </w:p>
        </w:tc>
        <w:tc>
          <w:tcPr>
            <w:tcW w:w="200" w:type="dxa"/>
            <w:vAlign w:val="bottom"/>
            <w:tcBorders>
              <w:bottom w:val="single" w:sz="8" w:color="auto"/>
            </w:tcBorders>
            <w:shd w:val="clear" w:color="auto" w:fill="CCEEFF"/>
          </w:tcPr>
          <w:p>
            <w:pPr>
              <w:spacing w:after="0"/>
              <w:rPr>
                <w:sz w:val="13"/>
                <w:szCs w:val="13"/>
                <w:color w:val="auto"/>
              </w:rPr>
            </w:pPr>
          </w:p>
        </w:tc>
        <w:tc>
          <w:tcPr>
            <w:tcW w:w="17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3,570,778</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3,343,660</w:t>
            </w:r>
          </w:p>
        </w:tc>
        <w:tc>
          <w:tcPr>
            <w:tcW w:w="0" w:type="dxa"/>
            <w:vAlign w:val="bottom"/>
          </w:tcPr>
          <w:p>
            <w:pPr>
              <w:spacing w:after="0"/>
              <w:rPr>
                <w:sz w:val="1"/>
                <w:szCs w:val="1"/>
                <w:color w:val="auto"/>
              </w:rPr>
            </w:pPr>
          </w:p>
        </w:tc>
      </w:tr>
      <w:tr>
        <w:trPr>
          <w:trHeight w:val="137"/>
        </w:trPr>
        <w:tc>
          <w:tcPr>
            <w:tcW w:w="73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b w:val="1"/>
                <w:bCs w:val="1"/>
                <w:color w:val="auto"/>
              </w:rPr>
              <w:t>Other non-current assets</w:t>
            </w:r>
          </w:p>
        </w:tc>
        <w:tc>
          <w:tcPr>
            <w:tcW w:w="20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Above market acquired charters (Note 7)</w:t>
            </w:r>
          </w:p>
        </w:tc>
        <w:tc>
          <w:tcPr>
            <w:tcW w:w="200" w:type="dxa"/>
            <w:vAlign w:val="bottom"/>
            <w:shd w:val="clear" w:color="auto" w:fill="CCEEFF"/>
          </w:tcPr>
          <w:p>
            <w:pPr>
              <w:spacing w:after="0"/>
              <w:rPr>
                <w:sz w:val="13"/>
                <w:szCs w:val="13"/>
                <w:color w:val="auto"/>
              </w:rPr>
            </w:pPr>
          </w:p>
        </w:tc>
        <w:tc>
          <w:tcPr>
            <w:tcW w:w="1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66,597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101,574</w:t>
            </w:r>
          </w:p>
        </w:tc>
        <w:tc>
          <w:tcPr>
            <w:tcW w:w="0" w:type="dxa"/>
            <w:vAlign w:val="bottom"/>
          </w:tcPr>
          <w:p>
            <w:pPr>
              <w:spacing w:after="0"/>
              <w:rPr>
                <w:sz w:val="1"/>
                <w:szCs w:val="1"/>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charges, net</w:t>
            </w:r>
          </w:p>
        </w:tc>
        <w:tc>
          <w:tcPr>
            <w:tcW w:w="200" w:type="dxa"/>
            <w:vAlign w:val="bottom"/>
            <w:shd w:val="clear" w:color="auto" w:fill="CCEEFF"/>
          </w:tcPr>
          <w:p>
            <w:pPr>
              <w:spacing w:after="0"/>
              <w:rPr>
                <w:sz w:val="13"/>
                <w:szCs w:val="13"/>
                <w:color w:val="auto"/>
              </w:rPr>
            </w:pPr>
          </w:p>
        </w:tc>
        <w:tc>
          <w:tcPr>
            <w:tcW w:w="1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3,483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0" w:type="dxa"/>
            <w:vAlign w:val="bottom"/>
          </w:tcPr>
          <w:p>
            <w:pPr>
              <w:spacing w:after="0"/>
              <w:rPr>
                <w:sz w:val="1"/>
                <w:szCs w:val="1"/>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Restricted cash (Note 8)</w:t>
            </w:r>
          </w:p>
        </w:tc>
        <w:tc>
          <w:tcPr>
            <w:tcW w:w="200" w:type="dxa"/>
            <w:vAlign w:val="bottom"/>
            <w:shd w:val="clear" w:color="auto" w:fill="CCEEFF"/>
          </w:tcPr>
          <w:p>
            <w:pPr>
              <w:spacing w:after="0"/>
              <w:rPr>
                <w:sz w:val="13"/>
                <w:szCs w:val="13"/>
                <w:color w:val="auto"/>
              </w:rPr>
            </w:pPr>
          </w:p>
        </w:tc>
        <w:tc>
          <w:tcPr>
            <w:tcW w:w="1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14,023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22,521</w:t>
            </w:r>
          </w:p>
        </w:tc>
        <w:tc>
          <w:tcPr>
            <w:tcW w:w="0" w:type="dxa"/>
            <w:vAlign w:val="bottom"/>
          </w:tcPr>
          <w:p>
            <w:pPr>
              <w:spacing w:after="0"/>
              <w:rPr>
                <w:sz w:val="1"/>
                <w:szCs w:val="1"/>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Derivative asset (Note 9)</w:t>
            </w:r>
          </w:p>
        </w:tc>
        <w:tc>
          <w:tcPr>
            <w:tcW w:w="200" w:type="dxa"/>
            <w:vAlign w:val="bottom"/>
            <w:shd w:val="clear" w:color="auto" w:fill="CCEEFF"/>
          </w:tcPr>
          <w:p>
            <w:pPr>
              <w:spacing w:after="0"/>
              <w:rPr>
                <w:sz w:val="13"/>
                <w:szCs w:val="13"/>
                <w:color w:val="auto"/>
              </w:rPr>
            </w:pPr>
          </w:p>
        </w:tc>
        <w:tc>
          <w:tcPr>
            <w:tcW w:w="1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13,682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1,574</w:t>
            </w:r>
          </w:p>
        </w:tc>
        <w:tc>
          <w:tcPr>
            <w:tcW w:w="0" w:type="dxa"/>
            <w:vAlign w:val="bottom"/>
          </w:tcPr>
          <w:p>
            <w:pPr>
              <w:spacing w:after="0"/>
              <w:rPr>
                <w:sz w:val="1"/>
                <w:szCs w:val="1"/>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Prepayments and other assets</w:t>
            </w:r>
          </w:p>
        </w:tc>
        <w:tc>
          <w:tcPr>
            <w:tcW w:w="200" w:type="dxa"/>
            <w:vAlign w:val="bottom"/>
            <w:shd w:val="clear" w:color="auto" w:fill="CCEEFF"/>
          </w:tcPr>
          <w:p>
            <w:pPr>
              <w:spacing w:after="0"/>
              <w:rPr>
                <w:sz w:val="13"/>
                <w:szCs w:val="13"/>
                <w:color w:val="auto"/>
              </w:rPr>
            </w:pPr>
          </w:p>
        </w:tc>
        <w:tc>
          <w:tcPr>
            <w:tcW w:w="1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546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2"/>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Non-current assets of discontinued operations (Note 3)</w:t>
            </w:r>
          </w:p>
        </w:tc>
        <w:tc>
          <w:tcPr>
            <w:tcW w:w="20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237,645</w:t>
            </w:r>
          </w:p>
        </w:tc>
        <w:tc>
          <w:tcPr>
            <w:tcW w:w="0" w:type="dxa"/>
            <w:vAlign w:val="bottom"/>
          </w:tcPr>
          <w:p>
            <w:pPr>
              <w:spacing w:after="0"/>
              <w:rPr>
                <w:sz w:val="1"/>
                <w:szCs w:val="1"/>
                <w:color w:val="auto"/>
              </w:rPr>
            </w:pPr>
          </w:p>
        </w:tc>
      </w:tr>
      <w:tr>
        <w:trPr>
          <w:trHeight w:val="150"/>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200" w:type="dxa"/>
            <w:vAlign w:val="bottom"/>
            <w:tcBorders>
              <w:bottom w:val="single" w:sz="8" w:color="auto"/>
            </w:tcBorders>
            <w:shd w:val="clear" w:color="auto" w:fill="CCEEFF"/>
          </w:tcPr>
          <w:p>
            <w:pPr>
              <w:spacing w:after="0"/>
              <w:rPr>
                <w:sz w:val="13"/>
                <w:szCs w:val="13"/>
                <w:color w:val="auto"/>
              </w:rPr>
            </w:pPr>
          </w:p>
        </w:tc>
        <w:tc>
          <w:tcPr>
            <w:tcW w:w="17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3,669,109</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3,707,339</w:t>
            </w:r>
          </w:p>
        </w:tc>
        <w:tc>
          <w:tcPr>
            <w:tcW w:w="0" w:type="dxa"/>
            <w:vAlign w:val="bottom"/>
          </w:tcPr>
          <w:p>
            <w:pPr>
              <w:spacing w:after="0"/>
              <w:rPr>
                <w:sz w:val="1"/>
                <w:szCs w:val="1"/>
                <w:color w:val="auto"/>
              </w:rPr>
            </w:pPr>
          </w:p>
        </w:tc>
      </w:tr>
      <w:tr>
        <w:trPr>
          <w:trHeight w:val="160"/>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7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4,095,114</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4,112,882</w:t>
            </w:r>
          </w:p>
        </w:tc>
        <w:tc>
          <w:tcPr>
            <w:tcW w:w="0" w:type="dxa"/>
            <w:vAlign w:val="bottom"/>
          </w:tcPr>
          <w:p>
            <w:pPr>
              <w:spacing w:after="0"/>
              <w:rPr>
                <w:sz w:val="1"/>
                <w:szCs w:val="1"/>
                <w:color w:val="auto"/>
              </w:rPr>
            </w:pPr>
          </w:p>
        </w:tc>
      </w:tr>
      <w:tr>
        <w:trPr>
          <w:trHeight w:val="145"/>
        </w:trPr>
        <w:tc>
          <w:tcPr>
            <w:tcW w:w="73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2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2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portion of long-term debt, net (Note 8)</w:t>
            </w: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122,144</w:t>
            </w:r>
          </w:p>
        </w:tc>
        <w:tc>
          <w:tcPr>
            <w:tcW w:w="28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117,126</w:t>
            </w:r>
          </w:p>
        </w:tc>
        <w:tc>
          <w:tcPr>
            <w:tcW w:w="0" w:type="dxa"/>
            <w:vAlign w:val="bottom"/>
          </w:tcPr>
          <w:p>
            <w:pPr>
              <w:spacing w:after="0"/>
              <w:rPr>
                <w:sz w:val="1"/>
                <w:szCs w:val="1"/>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Trade accounts payable</w:t>
            </w:r>
          </w:p>
        </w:tc>
        <w:tc>
          <w:tcPr>
            <w:tcW w:w="200" w:type="dxa"/>
            <w:vAlign w:val="bottom"/>
            <w:shd w:val="clear" w:color="auto" w:fill="CCEEFF"/>
          </w:tcPr>
          <w:p>
            <w:pPr>
              <w:spacing w:after="0"/>
              <w:rPr>
                <w:sz w:val="13"/>
                <w:szCs w:val="13"/>
                <w:color w:val="auto"/>
              </w:rPr>
            </w:pPr>
          </w:p>
        </w:tc>
        <w:tc>
          <w:tcPr>
            <w:tcW w:w="1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11,129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14,615</w:t>
            </w:r>
          </w:p>
        </w:tc>
        <w:tc>
          <w:tcPr>
            <w:tcW w:w="0" w:type="dxa"/>
            <w:vAlign w:val="bottom"/>
          </w:tcPr>
          <w:p>
            <w:pPr>
              <w:spacing w:after="0"/>
              <w:rPr>
                <w:sz w:val="1"/>
                <w:szCs w:val="1"/>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Due to related parties (Note 5)</w:t>
            </w:r>
          </w:p>
        </w:tc>
        <w:tc>
          <w:tcPr>
            <w:tcW w:w="200" w:type="dxa"/>
            <w:vAlign w:val="bottom"/>
            <w:shd w:val="clear" w:color="auto" w:fill="CCEEFF"/>
          </w:tcPr>
          <w:p>
            <w:pPr>
              <w:spacing w:after="0"/>
              <w:rPr>
                <w:sz w:val="13"/>
                <w:szCs w:val="13"/>
                <w:color w:val="auto"/>
              </w:rPr>
            </w:pPr>
          </w:p>
        </w:tc>
        <w:tc>
          <w:tcPr>
            <w:tcW w:w="1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5,607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3,542</w:t>
            </w:r>
          </w:p>
        </w:tc>
        <w:tc>
          <w:tcPr>
            <w:tcW w:w="0" w:type="dxa"/>
            <w:vAlign w:val="bottom"/>
          </w:tcPr>
          <w:p>
            <w:pPr>
              <w:spacing w:after="0"/>
              <w:rPr>
                <w:sz w:val="1"/>
                <w:szCs w:val="1"/>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liabilities (Note 11)</w:t>
            </w:r>
          </w:p>
        </w:tc>
        <w:tc>
          <w:tcPr>
            <w:tcW w:w="200" w:type="dxa"/>
            <w:vAlign w:val="bottom"/>
            <w:shd w:val="clear" w:color="auto" w:fill="CCEEFF"/>
          </w:tcPr>
          <w:p>
            <w:pPr>
              <w:spacing w:after="0"/>
              <w:rPr>
                <w:sz w:val="13"/>
                <w:szCs w:val="13"/>
                <w:color w:val="auto"/>
              </w:rPr>
            </w:pPr>
          </w:p>
        </w:tc>
        <w:tc>
          <w:tcPr>
            <w:tcW w:w="1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37,717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31,160</w:t>
            </w:r>
          </w:p>
        </w:tc>
        <w:tc>
          <w:tcPr>
            <w:tcW w:w="0" w:type="dxa"/>
            <w:vAlign w:val="bottom"/>
          </w:tcPr>
          <w:p>
            <w:pPr>
              <w:spacing w:after="0"/>
              <w:rPr>
                <w:sz w:val="1"/>
                <w:szCs w:val="1"/>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revenue</w:t>
            </w:r>
          </w:p>
        </w:tc>
        <w:tc>
          <w:tcPr>
            <w:tcW w:w="200" w:type="dxa"/>
            <w:vAlign w:val="bottom"/>
            <w:shd w:val="clear" w:color="auto" w:fill="CCEEFF"/>
          </w:tcPr>
          <w:p>
            <w:pPr>
              <w:spacing w:after="0"/>
              <w:rPr>
                <w:sz w:val="13"/>
                <w:szCs w:val="13"/>
                <w:color w:val="auto"/>
              </w:rPr>
            </w:pPr>
          </w:p>
        </w:tc>
        <w:tc>
          <w:tcPr>
            <w:tcW w:w="1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29,413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29,804</w:t>
            </w:r>
          </w:p>
        </w:tc>
        <w:tc>
          <w:tcPr>
            <w:tcW w:w="0" w:type="dxa"/>
            <w:vAlign w:val="bottom"/>
          </w:tcPr>
          <w:p>
            <w:pPr>
              <w:spacing w:after="0"/>
              <w:rPr>
                <w:sz w:val="1"/>
                <w:szCs w:val="1"/>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Derivative liabilities (Note 9)</w:t>
            </w:r>
          </w:p>
        </w:tc>
        <w:tc>
          <w:tcPr>
            <w:tcW w:w="200" w:type="dxa"/>
            <w:vAlign w:val="bottom"/>
            <w:shd w:val="clear" w:color="auto" w:fill="CCEEFF"/>
          </w:tcPr>
          <w:p>
            <w:pPr>
              <w:spacing w:after="0"/>
              <w:rPr>
                <w:sz w:val="13"/>
                <w:szCs w:val="13"/>
                <w:color w:val="auto"/>
              </w:rPr>
            </w:pPr>
          </w:p>
        </w:tc>
        <w:tc>
          <w:tcPr>
            <w:tcW w:w="1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18,114</w:t>
            </w:r>
          </w:p>
        </w:tc>
        <w:tc>
          <w:tcPr>
            <w:tcW w:w="0" w:type="dxa"/>
            <w:vAlign w:val="bottom"/>
          </w:tcPr>
          <w:p>
            <w:pPr>
              <w:spacing w:after="0"/>
              <w:rPr>
                <w:sz w:val="1"/>
                <w:szCs w:val="1"/>
                <w:color w:val="auto"/>
              </w:rPr>
            </w:pPr>
          </w:p>
        </w:tc>
      </w:tr>
      <w:tr>
        <w:trPr>
          <w:trHeight w:val="172"/>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liabilities of discontinued operations (Note 3)</w:t>
            </w:r>
          </w:p>
        </w:tc>
        <w:tc>
          <w:tcPr>
            <w:tcW w:w="20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103,514</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29,130</w:t>
            </w:r>
          </w:p>
        </w:tc>
        <w:tc>
          <w:tcPr>
            <w:tcW w:w="0" w:type="dxa"/>
            <w:vAlign w:val="bottom"/>
          </w:tcPr>
          <w:p>
            <w:pPr>
              <w:spacing w:after="0"/>
              <w:rPr>
                <w:sz w:val="1"/>
                <w:szCs w:val="1"/>
                <w:color w:val="auto"/>
              </w:rPr>
            </w:pPr>
          </w:p>
        </w:tc>
      </w:tr>
      <w:tr>
        <w:trPr>
          <w:trHeight w:val="150"/>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200" w:type="dxa"/>
            <w:vAlign w:val="bottom"/>
            <w:tcBorders>
              <w:bottom w:val="single" w:sz="8" w:color="auto"/>
            </w:tcBorders>
            <w:shd w:val="clear" w:color="auto" w:fill="CCEEFF"/>
          </w:tcPr>
          <w:p>
            <w:pPr>
              <w:spacing w:after="0"/>
              <w:rPr>
                <w:sz w:val="13"/>
                <w:szCs w:val="13"/>
                <w:color w:val="auto"/>
              </w:rPr>
            </w:pPr>
          </w:p>
        </w:tc>
        <w:tc>
          <w:tcPr>
            <w:tcW w:w="17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309,524</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243,491</w:t>
            </w:r>
          </w:p>
        </w:tc>
        <w:tc>
          <w:tcPr>
            <w:tcW w:w="0" w:type="dxa"/>
            <w:vAlign w:val="bottom"/>
          </w:tcPr>
          <w:p>
            <w:pPr>
              <w:spacing w:after="0"/>
              <w:rPr>
                <w:sz w:val="1"/>
                <w:szCs w:val="1"/>
                <w:color w:val="auto"/>
              </w:rPr>
            </w:pPr>
          </w:p>
        </w:tc>
      </w:tr>
      <w:tr>
        <w:trPr>
          <w:trHeight w:val="137"/>
        </w:trPr>
        <w:tc>
          <w:tcPr>
            <w:tcW w:w="73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b w:val="1"/>
                <w:bCs w:val="1"/>
                <w:color w:val="auto"/>
              </w:rPr>
              <w:t>Long-term liabilities</w:t>
            </w:r>
          </w:p>
        </w:tc>
        <w:tc>
          <w:tcPr>
            <w:tcW w:w="20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debt, net (Note 8)</w:t>
            </w:r>
          </w:p>
        </w:tc>
        <w:tc>
          <w:tcPr>
            <w:tcW w:w="200" w:type="dxa"/>
            <w:vAlign w:val="bottom"/>
            <w:shd w:val="clear" w:color="auto" w:fill="CCEEFF"/>
          </w:tcPr>
          <w:p>
            <w:pPr>
              <w:spacing w:after="0"/>
              <w:rPr>
                <w:sz w:val="13"/>
                <w:szCs w:val="13"/>
                <w:color w:val="auto"/>
              </w:rPr>
            </w:pPr>
          </w:p>
        </w:tc>
        <w:tc>
          <w:tcPr>
            <w:tcW w:w="1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2,232,193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2,277,957</w:t>
            </w:r>
          </w:p>
        </w:tc>
        <w:tc>
          <w:tcPr>
            <w:tcW w:w="0" w:type="dxa"/>
            <w:vAlign w:val="bottom"/>
          </w:tcPr>
          <w:p>
            <w:pPr>
              <w:spacing w:after="0"/>
              <w:rPr>
                <w:sz w:val="1"/>
                <w:szCs w:val="1"/>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Below market acquired charters (Note 7)</w:t>
            </w:r>
          </w:p>
        </w:tc>
        <w:tc>
          <w:tcPr>
            <w:tcW w:w="200" w:type="dxa"/>
            <w:vAlign w:val="bottom"/>
            <w:shd w:val="clear" w:color="auto" w:fill="CCEEFF"/>
          </w:tcPr>
          <w:p>
            <w:pPr>
              <w:spacing w:after="0"/>
              <w:rPr>
                <w:sz w:val="13"/>
                <w:szCs w:val="13"/>
                <w:color w:val="auto"/>
              </w:rPr>
            </w:pPr>
          </w:p>
        </w:tc>
        <w:tc>
          <w:tcPr>
            <w:tcW w:w="1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53,531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65,923</w:t>
            </w:r>
          </w:p>
        </w:tc>
        <w:tc>
          <w:tcPr>
            <w:tcW w:w="0" w:type="dxa"/>
            <w:vAlign w:val="bottom"/>
          </w:tcPr>
          <w:p>
            <w:pPr>
              <w:spacing w:after="0"/>
              <w:rPr>
                <w:sz w:val="1"/>
                <w:szCs w:val="1"/>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revenue</w:t>
            </w:r>
          </w:p>
        </w:tc>
        <w:tc>
          <w:tcPr>
            <w:tcW w:w="200" w:type="dxa"/>
            <w:vAlign w:val="bottom"/>
            <w:shd w:val="clear" w:color="auto" w:fill="CCEEFF"/>
          </w:tcPr>
          <w:p>
            <w:pPr>
              <w:spacing w:after="0"/>
              <w:rPr>
                <w:sz w:val="13"/>
                <w:szCs w:val="13"/>
                <w:color w:val="auto"/>
              </w:rPr>
            </w:pPr>
          </w:p>
        </w:tc>
        <w:tc>
          <w:tcPr>
            <w:tcW w:w="1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499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w:t>
            </w:r>
          </w:p>
        </w:tc>
        <w:tc>
          <w:tcPr>
            <w:tcW w:w="0" w:type="dxa"/>
            <w:vAlign w:val="bottom"/>
          </w:tcPr>
          <w:p>
            <w:pPr>
              <w:spacing w:after="0"/>
              <w:rPr>
                <w:sz w:val="1"/>
                <w:szCs w:val="1"/>
                <w:color w:val="auto"/>
              </w:rPr>
            </w:pPr>
          </w:p>
        </w:tc>
      </w:tr>
      <w:tr>
        <w:trPr>
          <w:trHeight w:val="172"/>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Non-current liabilities of discontinued operations (Note 3)</w:t>
            </w:r>
          </w:p>
        </w:tc>
        <w:tc>
          <w:tcPr>
            <w:tcW w:w="20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181,908</w:t>
            </w:r>
          </w:p>
        </w:tc>
        <w:tc>
          <w:tcPr>
            <w:tcW w:w="0" w:type="dxa"/>
            <w:vAlign w:val="bottom"/>
          </w:tcPr>
          <w:p>
            <w:pPr>
              <w:spacing w:after="0"/>
              <w:rPr>
                <w:sz w:val="1"/>
                <w:szCs w:val="1"/>
                <w:color w:val="auto"/>
              </w:rPr>
            </w:pPr>
          </w:p>
        </w:tc>
      </w:tr>
      <w:tr>
        <w:trPr>
          <w:trHeight w:val="150"/>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long-term liabilities</w:t>
            </w:r>
          </w:p>
        </w:tc>
        <w:tc>
          <w:tcPr>
            <w:tcW w:w="200" w:type="dxa"/>
            <w:vAlign w:val="bottom"/>
            <w:tcBorders>
              <w:bottom w:val="single" w:sz="8" w:color="auto"/>
            </w:tcBorders>
            <w:shd w:val="clear" w:color="auto" w:fill="CCEEFF"/>
          </w:tcPr>
          <w:p>
            <w:pPr>
              <w:spacing w:after="0"/>
              <w:rPr>
                <w:sz w:val="13"/>
                <w:szCs w:val="13"/>
                <w:color w:val="auto"/>
              </w:rPr>
            </w:pPr>
          </w:p>
        </w:tc>
        <w:tc>
          <w:tcPr>
            <w:tcW w:w="17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2,286,223</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2,526,422</w:t>
            </w:r>
          </w:p>
        </w:tc>
        <w:tc>
          <w:tcPr>
            <w:tcW w:w="0" w:type="dxa"/>
            <w:vAlign w:val="bottom"/>
          </w:tcPr>
          <w:p>
            <w:pPr>
              <w:spacing w:after="0"/>
              <w:rPr>
                <w:sz w:val="1"/>
                <w:szCs w:val="1"/>
                <w:color w:val="auto"/>
              </w:rPr>
            </w:pPr>
          </w:p>
        </w:tc>
      </w:tr>
      <w:tr>
        <w:trPr>
          <w:trHeight w:val="150"/>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00" w:type="dxa"/>
            <w:vAlign w:val="bottom"/>
            <w:tcBorders>
              <w:bottom w:val="single" w:sz="8" w:color="auto"/>
            </w:tcBorders>
            <w:shd w:val="clear" w:color="auto" w:fill="CCEEFF"/>
          </w:tcPr>
          <w:p>
            <w:pPr>
              <w:spacing w:after="0"/>
              <w:rPr>
                <w:sz w:val="13"/>
                <w:szCs w:val="13"/>
                <w:color w:val="auto"/>
              </w:rPr>
            </w:pPr>
          </w:p>
        </w:tc>
        <w:tc>
          <w:tcPr>
            <w:tcW w:w="17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2,595,747</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2,769,913</w:t>
            </w:r>
          </w:p>
        </w:tc>
        <w:tc>
          <w:tcPr>
            <w:tcW w:w="0" w:type="dxa"/>
            <w:vAlign w:val="bottom"/>
          </w:tcPr>
          <w:p>
            <w:pPr>
              <w:spacing w:after="0"/>
              <w:rPr>
                <w:sz w:val="1"/>
                <w:szCs w:val="1"/>
                <w:color w:val="auto"/>
              </w:rPr>
            </w:pPr>
          </w:p>
        </w:tc>
      </w:tr>
      <w:tr>
        <w:trPr>
          <w:trHeight w:val="135"/>
        </w:trPr>
        <w:tc>
          <w:tcPr>
            <w:tcW w:w="7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Commitments and contingencies (Note 17)</w:t>
            </w:r>
          </w:p>
        </w:tc>
        <w:tc>
          <w:tcPr>
            <w:tcW w:w="200" w:type="dxa"/>
            <w:vAlign w:val="bottom"/>
            <w:shd w:val="clear" w:color="auto" w:fill="CCEEFF"/>
          </w:tcPr>
          <w:p>
            <w:pPr>
              <w:spacing w:after="0"/>
              <w:rPr>
                <w:sz w:val="11"/>
                <w:szCs w:val="11"/>
                <w:color w:val="auto"/>
              </w:rPr>
            </w:pPr>
          </w:p>
        </w:tc>
        <w:tc>
          <w:tcPr>
            <w:tcW w:w="1740" w:type="dxa"/>
            <w:vAlign w:val="bottom"/>
            <w:shd w:val="clear" w:color="auto" w:fill="CCEEFF"/>
          </w:tcPr>
          <w:p>
            <w:pPr>
              <w:jc w:val="right"/>
              <w:ind w:right="13"/>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Shareholders’ Equity</w:t>
            </w:r>
          </w:p>
        </w:tc>
        <w:tc>
          <w:tcPr>
            <w:tcW w:w="2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shares ($0.01 par value, 60,708,914 and 59,938,374 shares issued and 59,487,853 and 58,387,313 shares outstanding as of</w:t>
            </w:r>
          </w:p>
        </w:tc>
        <w:tc>
          <w:tcPr>
            <w:tcW w:w="200" w:type="dxa"/>
            <w:vAlign w:val="bottom"/>
            <w:shd w:val="clear" w:color="auto" w:fill="CCEEFF"/>
          </w:tcPr>
          <w:p>
            <w:pPr>
              <w:spacing w:after="0"/>
              <w:rPr>
                <w:sz w:val="13"/>
                <w:szCs w:val="13"/>
                <w:color w:val="auto"/>
              </w:rPr>
            </w:pPr>
          </w:p>
        </w:tc>
        <w:tc>
          <w:tcPr>
            <w:tcW w:w="1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607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w:t>
            </w:r>
          </w:p>
        </w:tc>
        <w:tc>
          <w:tcPr>
            <w:tcW w:w="0" w:type="dxa"/>
            <w:vAlign w:val="bottom"/>
          </w:tcPr>
          <w:p>
            <w:pPr>
              <w:spacing w:after="0"/>
              <w:rPr>
                <w:sz w:val="1"/>
                <w:szCs w:val="1"/>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December 31, 2025 and 2024, respectively) (Note 14)</w:t>
            </w:r>
          </w:p>
        </w:tc>
        <w:tc>
          <w:tcPr>
            <w:tcW w:w="20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00" w:type="dxa"/>
            <w:vAlign w:val="bottom"/>
            <w:shd w:val="clear" w:color="auto" w:fill="CCEEFF"/>
          </w:tcPr>
          <w:p>
            <w:pPr>
              <w:spacing w:after="0"/>
              <w:rPr>
                <w:sz w:val="13"/>
                <w:szCs w:val="13"/>
                <w:color w:val="auto"/>
              </w:rPr>
            </w:pPr>
          </w:p>
        </w:tc>
        <w:tc>
          <w:tcPr>
            <w:tcW w:w="1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1,263,065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1,240,044</w:t>
            </w:r>
          </w:p>
        </w:tc>
        <w:tc>
          <w:tcPr>
            <w:tcW w:w="0" w:type="dxa"/>
            <w:vAlign w:val="bottom"/>
          </w:tcPr>
          <w:p>
            <w:pPr>
              <w:spacing w:after="0"/>
              <w:rPr>
                <w:sz w:val="1"/>
                <w:szCs w:val="1"/>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Retained earnings</w:t>
            </w:r>
          </w:p>
        </w:tc>
        <w:tc>
          <w:tcPr>
            <w:tcW w:w="200" w:type="dxa"/>
            <w:vAlign w:val="bottom"/>
            <w:shd w:val="clear" w:color="auto" w:fill="CCEEFF"/>
          </w:tcPr>
          <w:p>
            <w:pPr>
              <w:spacing w:after="0"/>
              <w:rPr>
                <w:sz w:val="13"/>
                <w:szCs w:val="13"/>
                <w:color w:val="auto"/>
              </w:rPr>
            </w:pPr>
          </w:p>
        </w:tc>
        <w:tc>
          <w:tcPr>
            <w:tcW w:w="1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237,270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102,615</w:t>
            </w:r>
          </w:p>
        </w:tc>
        <w:tc>
          <w:tcPr>
            <w:tcW w:w="0" w:type="dxa"/>
            <w:vAlign w:val="bottom"/>
          </w:tcPr>
          <w:p>
            <w:pPr>
              <w:spacing w:after="0"/>
              <w:rPr>
                <w:sz w:val="1"/>
                <w:szCs w:val="1"/>
                <w:color w:val="auto"/>
              </w:rPr>
            </w:pPr>
          </w:p>
        </w:tc>
      </w:tr>
      <w:tr>
        <w:trPr>
          <w:trHeight w:val="172"/>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other comprehensive loss (Note 9)</w:t>
            </w:r>
          </w:p>
        </w:tc>
        <w:tc>
          <w:tcPr>
            <w:tcW w:w="20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(1,575)</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0" w:type="dxa"/>
            <w:vAlign w:val="bottom"/>
          </w:tcPr>
          <w:p>
            <w:pPr>
              <w:spacing w:after="0"/>
              <w:rPr>
                <w:sz w:val="1"/>
                <w:szCs w:val="1"/>
                <w:color w:val="auto"/>
              </w:rPr>
            </w:pPr>
          </w:p>
        </w:tc>
      </w:tr>
      <w:tr>
        <w:trPr>
          <w:trHeight w:val="150"/>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200" w:type="dxa"/>
            <w:vAlign w:val="bottom"/>
            <w:tcBorders>
              <w:bottom w:val="single" w:sz="8" w:color="auto"/>
            </w:tcBorders>
            <w:shd w:val="clear" w:color="auto" w:fill="CCEEFF"/>
          </w:tcPr>
          <w:p>
            <w:pPr>
              <w:spacing w:after="0"/>
              <w:rPr>
                <w:sz w:val="13"/>
                <w:szCs w:val="13"/>
                <w:color w:val="auto"/>
              </w:rPr>
            </w:pPr>
          </w:p>
        </w:tc>
        <w:tc>
          <w:tcPr>
            <w:tcW w:w="17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1,499,367</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1,342,969</w:t>
            </w:r>
          </w:p>
        </w:tc>
        <w:tc>
          <w:tcPr>
            <w:tcW w:w="0" w:type="dxa"/>
            <w:vAlign w:val="bottom"/>
          </w:tcPr>
          <w:p>
            <w:pPr>
              <w:spacing w:after="0"/>
              <w:rPr>
                <w:sz w:val="1"/>
                <w:szCs w:val="1"/>
                <w:color w:val="auto"/>
              </w:rPr>
            </w:pPr>
          </w:p>
        </w:tc>
      </w:tr>
      <w:tr>
        <w:trPr>
          <w:trHeight w:val="160"/>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 and shareholders’ equity</w:t>
            </w: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7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4,095,114</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4,112,882</w:t>
            </w:r>
          </w:p>
        </w:tc>
        <w:tc>
          <w:tcPr>
            <w:tcW w:w="0" w:type="dxa"/>
            <w:vAlign w:val="bottom"/>
          </w:tcPr>
          <w:p>
            <w:pPr>
              <w:spacing w:after="0"/>
              <w:rPr>
                <w:sz w:val="1"/>
                <w:szCs w:val="1"/>
                <w:color w:val="auto"/>
              </w:rPr>
            </w:pPr>
          </w:p>
        </w:tc>
      </w:tr>
      <w:tr>
        <w:trPr>
          <w:trHeight w:val="260"/>
        </w:trPr>
        <w:tc>
          <w:tcPr>
            <w:tcW w:w="9280" w:type="dxa"/>
            <w:vAlign w:val="bottom"/>
            <w:gridSpan w:val="3"/>
          </w:tcPr>
          <w:p>
            <w:pPr>
              <w:ind w:left="3560"/>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9"/>
        </w:trPr>
        <w:tc>
          <w:tcPr>
            <w:tcW w:w="7340" w:type="dxa"/>
            <w:vAlign w:val="bottom"/>
          </w:tcPr>
          <w:p>
            <w:pPr>
              <w:ind w:left="5560"/>
              <w:spacing w:after="0"/>
              <w:rPr>
                <w:sz w:val="20"/>
                <w:szCs w:val="20"/>
                <w:color w:val="auto"/>
              </w:rPr>
            </w:pPr>
            <w:r>
              <w:rPr>
                <w:rFonts w:ascii="Times New Roman" w:cs="Times New Roman" w:eastAsia="Times New Roman" w:hAnsi="Times New Roman"/>
                <w:sz w:val="13"/>
                <w:szCs w:val="13"/>
                <w:color w:val="auto"/>
              </w:rPr>
              <w:t>F- 2</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3"/>
                <w:szCs w:val="13"/>
                <w:color w:val="0000EE"/>
                <w:w w:val="98"/>
              </w:rPr>
              <w:t>Table of Contents</w:t>
            </w:r>
          </w:p>
        </w:tc>
        <w:tc>
          <w:tcPr>
            <w:tcW w:w="0" w:type="dxa"/>
            <w:vAlign w:val="bottom"/>
          </w:tcPr>
          <w:p>
            <w:pPr>
              <w:spacing w:after="0"/>
              <w:rPr>
                <w:sz w:val="1"/>
                <w:szCs w:val="1"/>
                <w:color w:val="auto"/>
              </w:rPr>
            </w:pPr>
          </w:p>
        </w:tc>
      </w:tr>
      <w:tr>
        <w:trPr>
          <w:trHeight w:val="20"/>
        </w:trPr>
        <w:tc>
          <w:tcPr>
            <w:tcW w:w="7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-5601970</wp:posOffset>
            </wp:positionV>
            <wp:extent cx="7167880" cy="1016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4">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-5399405</wp:posOffset>
            </wp:positionV>
            <wp:extent cx="7167880" cy="1016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5">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-5196205</wp:posOffset>
            </wp:positionV>
            <wp:extent cx="7167880" cy="1016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6">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-4993640</wp:posOffset>
            </wp:positionV>
            <wp:extent cx="7167880" cy="1016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7">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-4790440</wp:posOffset>
            </wp:positionV>
            <wp:extent cx="7167880" cy="1016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8">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-4581525</wp:posOffset>
            </wp:positionV>
            <wp:extent cx="7167880" cy="1079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9">
                      <a:extLst>
                        <a:ext uri="{28A0092B-C50C-407E-A947-70E740481C1C}"/>
                      </a:extLst>
                    </a:blip>
                    <a:srcRect/>
                    <a:stretch>
                      <a:fillRect/>
                    </a:stretch>
                  </pic:blipFill>
                  <pic:spPr bwMode="auto">
                    <a:xfrm>
                      <a:off x="0" y="0"/>
                      <a:ext cx="7167880" cy="1079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-4372610</wp:posOffset>
            </wp:positionV>
            <wp:extent cx="7167880" cy="1016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0">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-4163060</wp:posOffset>
            </wp:positionV>
            <wp:extent cx="7167880" cy="1079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1">
                      <a:extLst>
                        <a:ext uri="{28A0092B-C50C-407E-A947-70E740481C1C}"/>
                      </a:extLst>
                    </a:blip>
                    <a:srcRect/>
                    <a:stretch>
                      <a:fillRect/>
                    </a:stretch>
                  </pic:blipFill>
                  <pic:spPr bwMode="auto">
                    <a:xfrm>
                      <a:off x="0" y="0"/>
                      <a:ext cx="7167880" cy="1079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-3954145</wp:posOffset>
            </wp:positionV>
            <wp:extent cx="7167880" cy="1016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2">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-3751580</wp:posOffset>
            </wp:positionV>
            <wp:extent cx="7167880" cy="1016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3">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-3548380</wp:posOffset>
            </wp:positionV>
            <wp:extent cx="7167880" cy="1016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4">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-3339465</wp:posOffset>
            </wp:positionV>
            <wp:extent cx="7167880" cy="1143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5">
                      <a:extLst>
                        <a:ext uri="{28A0092B-C50C-407E-A947-70E740481C1C}"/>
                      </a:extLst>
                    </a:blip>
                    <a:srcRect/>
                    <a:stretch>
                      <a:fillRect/>
                    </a:stretch>
                  </pic:blipFill>
                  <pic:spPr bwMode="auto">
                    <a:xfrm>
                      <a:off x="0" y="0"/>
                      <a:ext cx="7167880" cy="1143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-3111500</wp:posOffset>
            </wp:positionV>
            <wp:extent cx="7167880" cy="1016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-2908300</wp:posOffset>
            </wp:positionV>
            <wp:extent cx="7167880" cy="1016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7">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-2705735</wp:posOffset>
            </wp:positionV>
            <wp:extent cx="7167880" cy="1016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-2502535</wp:posOffset>
            </wp:positionV>
            <wp:extent cx="7167880" cy="1016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-2299970</wp:posOffset>
            </wp:positionV>
            <wp:extent cx="7167880" cy="1079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7167880" cy="1079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-2084705</wp:posOffset>
            </wp:positionV>
            <wp:extent cx="7167880" cy="1016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1">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-1881505</wp:posOffset>
            </wp:positionV>
            <wp:extent cx="7167880" cy="1016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2">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-1678940</wp:posOffset>
            </wp:positionV>
            <wp:extent cx="7167880" cy="1079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3">
                      <a:extLst>
                        <a:ext uri="{28A0092B-C50C-407E-A947-70E740481C1C}"/>
                      </a:extLst>
                    </a:blip>
                    <a:srcRect/>
                    <a:stretch>
                      <a:fillRect/>
                    </a:stretch>
                  </pic:blipFill>
                  <pic:spPr bwMode="auto">
                    <a:xfrm>
                      <a:off x="0" y="0"/>
                      <a:ext cx="7167880" cy="1079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-1463675</wp:posOffset>
            </wp:positionV>
            <wp:extent cx="7167880" cy="1079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4">
                      <a:extLst>
                        <a:ext uri="{28A0092B-C50C-407E-A947-70E740481C1C}"/>
                      </a:extLst>
                    </a:blip>
                    <a:srcRect/>
                    <a:stretch>
                      <a:fillRect/>
                    </a:stretch>
                  </pic:blipFill>
                  <pic:spPr bwMode="auto">
                    <a:xfrm>
                      <a:off x="0" y="0"/>
                      <a:ext cx="7167880" cy="1079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-1254125</wp:posOffset>
            </wp:positionV>
            <wp:extent cx="7167880" cy="2025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5">
                      <a:extLst>
                        <a:ext uri="{28A0092B-C50C-407E-A947-70E740481C1C}"/>
                      </a:extLst>
                    </a:blip>
                    <a:srcRect/>
                    <a:stretch>
                      <a:fillRect/>
                    </a:stretch>
                  </pic:blipFill>
                  <pic:spPr bwMode="auto">
                    <a:xfrm>
                      <a:off x="0" y="0"/>
                      <a:ext cx="7167880" cy="2025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-949960</wp:posOffset>
            </wp:positionV>
            <wp:extent cx="7167880" cy="1016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6">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-747395</wp:posOffset>
            </wp:positionV>
            <wp:extent cx="7167880" cy="1079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7">
                      <a:extLst>
                        <a:ext uri="{28A0092B-C50C-407E-A947-70E740481C1C}"/>
                      </a:extLst>
                    </a:blip>
                    <a:srcRect/>
                    <a:stretch>
                      <a:fillRect/>
                    </a:stretch>
                  </pic:blipFill>
                  <pic:spPr bwMode="auto">
                    <a:xfrm>
                      <a:off x="0" y="0"/>
                      <a:ext cx="7167880" cy="107950"/>
                    </a:xfrm>
                    <a:prstGeom prst="rect">
                      <a:avLst/>
                    </a:prstGeom>
                    <a:noFill/>
                  </pic:spPr>
                </pic:pic>
              </a:graphicData>
            </a:graphic>
          </wp:anchor>
        </w:drawing>
      </w:r>
    </w:p>
    <w:p>
      <w:pPr>
        <w:sectPr>
          <w:pgSz w:w="11900" w:h="16838" w:orient="portrait"/>
          <w:cols w:equalWidth="0" w:num="1">
            <w:col w:w="11280"/>
          </w:cols>
          <w:pgMar w:left="300" w:top="225" w:right="3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3"/>
          <w:szCs w:val="13"/>
          <w:b w:val="1"/>
          <w:bCs w:val="1"/>
          <w:color w:val="auto"/>
        </w:rPr>
        <w:t>Clean Energy Carriers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Consolidated Statements of Comprehensive Income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United States Dollars except number of shares and net income per share)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6"/>
          </w:tcPr>
          <w:p>
            <w:pPr>
              <w:ind w:left="88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940" w:type="dxa"/>
            <w:vAlign w:val="bottom"/>
            <w:tcBorders>
              <w:bottom w:val="single" w:sz="8" w:color="auto"/>
            </w:tcBorders>
          </w:tcPr>
          <w:p>
            <w:pPr>
              <w:spacing w:after="0"/>
              <w:rPr>
                <w:sz w:val="15"/>
                <w:szCs w:val="15"/>
                <w:color w:val="auto"/>
              </w:rPr>
            </w:pPr>
          </w:p>
        </w:tc>
      </w:tr>
      <w:tr>
        <w:trPr>
          <w:trHeight w:val="150"/>
        </w:trPr>
        <w:tc>
          <w:tcPr>
            <w:tcW w:w="666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Revenues (Note 4)</w:t>
            </w:r>
          </w:p>
        </w:tc>
        <w:tc>
          <w:tcPr>
            <w:tcW w:w="46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392,706</w:t>
            </w:r>
          </w:p>
        </w:tc>
        <w:tc>
          <w:tcPr>
            <w:tcW w:w="12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339,549</w:t>
            </w:r>
          </w:p>
        </w:tc>
        <w:tc>
          <w:tcPr>
            <w:tcW w:w="12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219,196</w:t>
            </w:r>
          </w:p>
        </w:tc>
      </w:tr>
      <w:tr>
        <w:trPr>
          <w:trHeight w:val="150"/>
        </w:trPr>
        <w:tc>
          <w:tcPr>
            <w:tcW w:w="6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Voyage expenses, net (Note 12)</w:t>
            </w:r>
          </w:p>
        </w:tc>
        <w:tc>
          <w:tcPr>
            <w:tcW w:w="4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7,733</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9,833</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11,619</w:t>
            </w:r>
          </w:p>
        </w:tc>
      </w:tr>
      <w:tr>
        <w:trPr>
          <w:trHeight w:val="160"/>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Vessel operating expenses (Note 12)</w:t>
            </w: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59,083</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50,170</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37,928</w:t>
            </w:r>
          </w:p>
        </w:tc>
      </w:tr>
      <w:tr>
        <w:trPr>
          <w:trHeight w:val="16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Vessel operating expenses - related parties (Notes 5, 12)</w:t>
            </w:r>
          </w:p>
        </w:tc>
        <w:tc>
          <w:tcPr>
            <w:tcW w:w="4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9,144</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8,722</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6,165</w:t>
            </w:r>
          </w:p>
        </w:tc>
      </w:tr>
      <w:tr>
        <w:trPr>
          <w:trHeight w:val="147"/>
        </w:trPr>
        <w:tc>
          <w:tcPr>
            <w:tcW w:w="66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General and administrative expenses (including $3,708, $2,980 and $2,564 to related parties, for the years ended December</w:t>
            </w:r>
          </w:p>
        </w:tc>
        <w:tc>
          <w:tcPr>
            <w:tcW w:w="460" w:type="dxa"/>
            <w:vAlign w:val="bottom"/>
          </w:tcPr>
          <w:p>
            <w:pPr>
              <w:spacing w:after="0"/>
              <w:rPr>
                <w:sz w:val="12"/>
                <w:szCs w:val="12"/>
                <w:color w:val="auto"/>
              </w:rPr>
            </w:pPr>
          </w:p>
        </w:tc>
        <w:tc>
          <w:tcPr>
            <w:tcW w:w="10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15,598</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jc w:val="right"/>
              <w:ind w:right="13"/>
              <w:spacing w:after="0" w:line="147" w:lineRule="exact"/>
              <w:rPr>
                <w:sz w:val="20"/>
                <w:szCs w:val="20"/>
                <w:color w:val="auto"/>
              </w:rPr>
            </w:pPr>
            <w:r>
              <w:rPr>
                <w:rFonts w:ascii="Times New Roman" w:cs="Times New Roman" w:eastAsia="Times New Roman" w:hAnsi="Times New Roman"/>
                <w:sz w:val="13"/>
                <w:szCs w:val="13"/>
                <w:color w:val="auto"/>
              </w:rPr>
              <w:t>16,682</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13,445</w:t>
            </w:r>
          </w:p>
        </w:tc>
      </w:tr>
      <w:tr>
        <w:trPr>
          <w:trHeight w:val="172"/>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31, 2025, 2024 and 2023, respectively) (Notes 5, 15)</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Vessel depreciation and amortization (Note 6)</w:t>
            </w:r>
          </w:p>
        </w:tc>
        <w:tc>
          <w:tcPr>
            <w:tcW w:w="4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87,213</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76,454</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47,559</w:t>
            </w:r>
          </w:p>
        </w:tc>
      </w:tr>
      <w:tr>
        <w:trPr>
          <w:trHeight w:val="160"/>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Impairment of vessels</w:t>
            </w:r>
          </w:p>
        </w:tc>
        <w:tc>
          <w:tcPr>
            <w:tcW w:w="46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3"/>
                <w:szCs w:val="13"/>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11,157</w:t>
            </w:r>
          </w:p>
        </w:tc>
      </w:tr>
      <w:tr>
        <w:trPr>
          <w:trHeight w:val="150"/>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income, net</w:t>
            </w:r>
          </w:p>
        </w:tc>
        <w:tc>
          <w:tcPr>
            <w:tcW w:w="46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213,935</w:t>
            </w:r>
          </w:p>
        </w:tc>
        <w:tc>
          <w:tcPr>
            <w:tcW w:w="1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177,688</w:t>
            </w:r>
          </w:p>
        </w:tc>
        <w:tc>
          <w:tcPr>
            <w:tcW w:w="1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91,323</w:t>
            </w:r>
          </w:p>
        </w:tc>
      </w:tr>
      <w:tr>
        <w:trPr>
          <w:trHeight w:val="150"/>
        </w:trPr>
        <w:tc>
          <w:tcPr>
            <w:tcW w:w="6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(expense) / income, net:</w:t>
            </w: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 and finance cost (including $3,174 to related party, for the year ended December 31, 2024) (Note 5, 8)</w:t>
            </w:r>
          </w:p>
        </w:tc>
        <w:tc>
          <w:tcPr>
            <w:tcW w:w="4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(103,128)</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(125,760)</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(84,330)</w:t>
            </w:r>
          </w:p>
        </w:tc>
      </w:tr>
      <w:tr>
        <w:trPr>
          <w:trHeight w:val="160"/>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Other income, net (Note 9)</w:t>
            </w: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2,587</w:t>
            </w: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3,262</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1,254</w:t>
            </w:r>
          </w:p>
        </w:tc>
      </w:tr>
      <w:tr>
        <w:trPr>
          <w:trHeight w:val="15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other expense, net</w:t>
            </w:r>
          </w:p>
        </w:tc>
        <w:tc>
          <w:tcPr>
            <w:tcW w:w="46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(100,541)</w:t>
            </w:r>
          </w:p>
        </w:tc>
        <w:tc>
          <w:tcPr>
            <w:tcW w:w="1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(122,498)</w:t>
            </w:r>
          </w:p>
        </w:tc>
        <w:tc>
          <w:tcPr>
            <w:tcW w:w="1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(83,076)</w:t>
            </w:r>
          </w:p>
        </w:tc>
      </w:tr>
      <w:tr>
        <w:trPr>
          <w:trHeight w:val="150"/>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Net income from continuing operations</w:t>
            </w: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113,394</w:t>
            </w: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55,190</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8,247</w:t>
            </w:r>
          </w:p>
        </w:tc>
      </w:tr>
      <w:tr>
        <w:trPr>
          <w:trHeight w:val="15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 from discontinued operations (Note 3)</w:t>
            </w:r>
          </w:p>
        </w:tc>
        <w:tc>
          <w:tcPr>
            <w:tcW w:w="46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57,365</w:t>
            </w:r>
          </w:p>
        </w:tc>
        <w:tc>
          <w:tcPr>
            <w:tcW w:w="1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138,444</w:t>
            </w:r>
          </w:p>
        </w:tc>
        <w:tc>
          <w:tcPr>
            <w:tcW w:w="1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38,961</w:t>
            </w:r>
          </w:p>
        </w:tc>
      </w:tr>
      <w:tr>
        <w:trPr>
          <w:trHeight w:val="150"/>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Net income from operations</w:t>
            </w: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170,759</w:t>
            </w: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193,634</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47,208</w:t>
            </w:r>
          </w:p>
        </w:tc>
      </w:tr>
      <w:tr>
        <w:trPr>
          <w:trHeight w:val="15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attributable to General Partner (Note 16)</w:t>
            </w:r>
          </w:p>
        </w:tc>
        <w:tc>
          <w:tcPr>
            <w:tcW w:w="4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743</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w:t>
            </w:r>
          </w:p>
        </w:tc>
      </w:tr>
      <w:tr>
        <w:trPr>
          <w:trHeight w:val="160"/>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Deemed dividend to General Partner (Note 16)</w:t>
            </w:r>
          </w:p>
        </w:tc>
        <w:tc>
          <w:tcPr>
            <w:tcW w:w="46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3"/>
                <w:szCs w:val="13"/>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46,184</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attributable to unvested shares (Note 16)</w:t>
            </w:r>
          </w:p>
        </w:tc>
        <w:tc>
          <w:tcPr>
            <w:tcW w:w="4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808</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w:t>
            </w:r>
          </w:p>
        </w:tc>
      </w:tr>
      <w:tr>
        <w:trPr>
          <w:trHeight w:val="160"/>
        </w:trPr>
        <w:tc>
          <w:tcPr>
            <w:tcW w:w="6660" w:type="dxa"/>
            <w:vAlign w:val="bottom"/>
          </w:tcPr>
          <w:p>
            <w:pPr>
              <w:spacing w:after="0"/>
              <w:rPr>
                <w:sz w:val="20"/>
                <w:szCs w:val="20"/>
                <w:color w:val="auto"/>
              </w:rPr>
            </w:pPr>
            <w:r>
              <w:rPr>
                <w:rFonts w:ascii="Times New Roman" w:cs="Times New Roman" w:eastAsia="Times New Roman" w:hAnsi="Times New Roman"/>
                <w:sz w:val="13"/>
                <w:szCs w:val="13"/>
                <w:color w:val="auto"/>
              </w:rPr>
              <w:t>Net income attributable to common shareholders (Note 16)</w:t>
            </w: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170,759</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145,899</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45,599</w:t>
            </w:r>
          </w:p>
        </w:tc>
      </w:tr>
      <w:tr>
        <w:trPr>
          <w:trHeight w:val="16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 from continuing operations per:</w:t>
            </w:r>
          </w:p>
        </w:tc>
        <w:tc>
          <w:tcPr>
            <w:tcW w:w="4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60"/>
        </w:trPr>
        <w:tc>
          <w:tcPr>
            <w:tcW w:w="6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Common share, basic and diluted</w:t>
            </w:r>
          </w:p>
        </w:tc>
        <w:tc>
          <w:tcPr>
            <w:tcW w:w="460" w:type="dxa"/>
            <w:vAlign w:val="bottom"/>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1.92</w:t>
            </w:r>
          </w:p>
        </w:tc>
        <w:tc>
          <w:tcPr>
            <w:tcW w:w="120" w:type="dxa"/>
            <w:vAlign w:val="bottom"/>
          </w:tcPr>
          <w:p>
            <w:pPr>
              <w:spacing w:after="0"/>
              <w:rPr>
                <w:sz w:val="13"/>
                <w:szCs w:val="13"/>
                <w:color w:val="auto"/>
              </w:rPr>
            </w:pPr>
          </w:p>
        </w:tc>
        <w:tc>
          <w:tcPr>
            <w:tcW w:w="44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0.15</w:t>
            </w:r>
          </w:p>
        </w:tc>
        <w:tc>
          <w:tcPr>
            <w:tcW w:w="12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0.38</w:t>
            </w:r>
          </w:p>
        </w:tc>
      </w:tr>
      <w:tr>
        <w:trPr>
          <w:trHeight w:val="16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Weighted-average shares outstanding:</w:t>
            </w:r>
          </w:p>
        </w:tc>
        <w:tc>
          <w:tcPr>
            <w:tcW w:w="4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60"/>
        </w:trPr>
        <w:tc>
          <w:tcPr>
            <w:tcW w:w="6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Common shares, basic</w:t>
            </w: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58,919,848</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56,094,666</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21,182,471</w:t>
            </w:r>
          </w:p>
        </w:tc>
      </w:tr>
      <w:tr>
        <w:trPr>
          <w:trHeight w:val="16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 Common shares, diluted</w:t>
            </w:r>
          </w:p>
        </w:tc>
        <w:tc>
          <w:tcPr>
            <w:tcW w:w="4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59,191,879</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56,094,666</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21,182,471</w:t>
            </w:r>
          </w:p>
        </w:tc>
      </w:tr>
      <w:tr>
        <w:trPr>
          <w:trHeight w:val="160"/>
        </w:trPr>
        <w:tc>
          <w:tcPr>
            <w:tcW w:w="6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income from discontinued operations per:</w:t>
            </w: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 Common share, basic and diluted</w:t>
            </w: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0.97</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2.45</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1.77</w:t>
            </w:r>
          </w:p>
        </w:tc>
      </w:tr>
      <w:tr>
        <w:trPr>
          <w:trHeight w:val="160"/>
        </w:trPr>
        <w:tc>
          <w:tcPr>
            <w:tcW w:w="6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Weighted-average shares outstanding:</w:t>
            </w: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 Common shares, basic</w:t>
            </w:r>
          </w:p>
        </w:tc>
        <w:tc>
          <w:tcPr>
            <w:tcW w:w="4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58,919,848</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56,094,666</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21,182,471</w:t>
            </w:r>
          </w:p>
        </w:tc>
      </w:tr>
      <w:tr>
        <w:trPr>
          <w:trHeight w:val="160"/>
        </w:trPr>
        <w:tc>
          <w:tcPr>
            <w:tcW w:w="6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Common shares, diluted</w:t>
            </w: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59,191,879</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56,094,666</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21,182,471</w:t>
            </w:r>
          </w:p>
        </w:tc>
      </w:tr>
      <w:tr>
        <w:trPr>
          <w:trHeight w:val="16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 from operations per:</w:t>
            </w:r>
          </w:p>
        </w:tc>
        <w:tc>
          <w:tcPr>
            <w:tcW w:w="4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60"/>
        </w:trPr>
        <w:tc>
          <w:tcPr>
            <w:tcW w:w="6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Common share, basic</w:t>
            </w: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2.90</w:t>
            </w:r>
          </w:p>
        </w:tc>
        <w:tc>
          <w:tcPr>
            <w:tcW w:w="120" w:type="dxa"/>
            <w:vAlign w:val="bottom"/>
          </w:tcPr>
          <w:p>
            <w:pPr>
              <w:spacing w:after="0"/>
              <w:rPr>
                <w:sz w:val="13"/>
                <w:szCs w:val="13"/>
                <w:color w:val="auto"/>
              </w:rPr>
            </w:pPr>
          </w:p>
        </w:tc>
        <w:tc>
          <w:tcPr>
            <w:tcW w:w="44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2.60</w:t>
            </w:r>
          </w:p>
        </w:tc>
        <w:tc>
          <w:tcPr>
            <w:tcW w:w="12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2.15</w:t>
            </w:r>
          </w:p>
        </w:tc>
      </w:tr>
      <w:tr>
        <w:trPr>
          <w:trHeight w:val="16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 Common share, diluted</w:t>
            </w: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2.88</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2.60</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2.15</w:t>
            </w:r>
          </w:p>
        </w:tc>
      </w:tr>
      <w:tr>
        <w:trPr>
          <w:trHeight w:val="160"/>
        </w:trPr>
        <w:tc>
          <w:tcPr>
            <w:tcW w:w="6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Weighted-average shares outstanding:</w:t>
            </w: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 Common shares, basic</w:t>
            </w:r>
          </w:p>
        </w:tc>
        <w:tc>
          <w:tcPr>
            <w:tcW w:w="4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58,919,848</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56,094,666</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21,182,471</w:t>
            </w:r>
          </w:p>
        </w:tc>
      </w:tr>
      <w:tr>
        <w:trPr>
          <w:trHeight w:val="160"/>
        </w:trPr>
        <w:tc>
          <w:tcPr>
            <w:tcW w:w="6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Common shares, diluted</w:t>
            </w: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59,191,879</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56,094,666</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21,182,471</w:t>
            </w:r>
          </w:p>
        </w:tc>
      </w:tr>
      <w:tr>
        <w:trPr>
          <w:trHeight w:val="16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from operations</w:t>
            </w:r>
          </w:p>
        </w:tc>
        <w:tc>
          <w:tcPr>
            <w:tcW w:w="4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170,759</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193,634</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47,208</w:t>
            </w:r>
          </w:p>
        </w:tc>
      </w:tr>
      <w:tr>
        <w:trPr>
          <w:trHeight w:val="160"/>
        </w:trPr>
        <w:tc>
          <w:tcPr>
            <w:tcW w:w="6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comprehensive (loss) / income:</w:t>
            </w: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Unrealized (loss) / income on derivative instruments (Note 9)</w:t>
            </w:r>
          </w:p>
        </w:tc>
        <w:tc>
          <w:tcPr>
            <w:tcW w:w="46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(1,286)</w:t>
            </w:r>
          </w:p>
        </w:tc>
        <w:tc>
          <w:tcPr>
            <w:tcW w:w="1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1,297</w:t>
            </w:r>
          </w:p>
        </w:tc>
        <w:tc>
          <w:tcPr>
            <w:tcW w:w="1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3,180</w:t>
            </w:r>
          </w:p>
        </w:tc>
      </w:tr>
      <w:tr>
        <w:trPr>
          <w:trHeight w:val="160"/>
        </w:trPr>
        <w:tc>
          <w:tcPr>
            <w:tcW w:w="6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comprehensive income</w:t>
            </w:r>
          </w:p>
        </w:tc>
        <w:tc>
          <w:tcPr>
            <w:tcW w:w="4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169,473</w:t>
            </w:r>
          </w:p>
        </w:tc>
        <w:tc>
          <w:tcPr>
            <w:tcW w:w="120" w:type="dxa"/>
            <w:vAlign w:val="bottom"/>
          </w:tcPr>
          <w:p>
            <w:pPr>
              <w:spacing w:after="0"/>
              <w:rPr>
                <w:sz w:val="13"/>
                <w:szCs w:val="13"/>
                <w:color w:val="auto"/>
              </w:rPr>
            </w:pPr>
          </w:p>
        </w:tc>
        <w:tc>
          <w:tcPr>
            <w:tcW w:w="4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194,931</w:t>
            </w:r>
          </w:p>
        </w:tc>
        <w:tc>
          <w:tcPr>
            <w:tcW w:w="120" w:type="dxa"/>
            <w:vAlign w:val="bottom"/>
          </w:tcPr>
          <w:p>
            <w:pPr>
              <w:spacing w:after="0"/>
              <w:rPr>
                <w:sz w:val="13"/>
                <w:szCs w:val="13"/>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50,388</w:t>
            </w:r>
          </w:p>
        </w:tc>
      </w:tr>
      <w:tr>
        <w:trPr>
          <w:trHeight w:val="260"/>
        </w:trPr>
        <w:tc>
          <w:tcPr>
            <w:tcW w:w="8260" w:type="dxa"/>
            <w:vAlign w:val="bottom"/>
            <w:gridSpan w:val="4"/>
          </w:tcPr>
          <w:p>
            <w:pPr>
              <w:ind w:left="3560"/>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509"/>
        </w:trPr>
        <w:tc>
          <w:tcPr>
            <w:tcW w:w="6660" w:type="dxa"/>
            <w:vAlign w:val="bottom"/>
          </w:tcPr>
          <w:p>
            <w:pPr>
              <w:ind w:left="5560"/>
              <w:spacing w:after="0"/>
              <w:rPr>
                <w:sz w:val="20"/>
                <w:szCs w:val="20"/>
                <w:color w:val="auto"/>
              </w:rPr>
            </w:pPr>
            <w:r>
              <w:rPr>
                <w:rFonts w:ascii="Times New Roman" w:cs="Times New Roman" w:eastAsia="Times New Roman" w:hAnsi="Times New Roman"/>
                <w:sz w:val="13"/>
                <w:szCs w:val="13"/>
                <w:color w:val="auto"/>
              </w:rPr>
              <w:t>F- 3</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3"/>
                <w:szCs w:val="13"/>
                <w:color w:val="0000EE"/>
                <w:w w:val="98"/>
              </w:rPr>
              <w:t>Table of Contents</w:t>
            </w:r>
          </w:p>
        </w:tc>
      </w:tr>
      <w:tr>
        <w:trPr>
          <w:trHeight w:val="20"/>
        </w:trPr>
        <w:tc>
          <w:tcPr>
            <w:tcW w:w="6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80"/>
          </w:cols>
          <w:pgMar w:left="300" w:top="205" w:right="3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3"/>
          <w:szCs w:val="13"/>
          <w:b w:val="1"/>
          <w:bCs w:val="1"/>
          <w:color w:val="auto"/>
        </w:rPr>
        <w:t>Capital Clean Energy Carriers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Consolidated Statements of Changes in Shareholders’ Equity and Partners’ Capital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United States Dollars)</w:t>
      </w:r>
    </w:p>
    <w:p>
      <w:pPr>
        <w:spacing w:after="0" w:line="227"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3"/>
          <w:szCs w:val="13"/>
          <w:color w:val="auto"/>
        </w:rPr>
        <w:t>The statements below for the period from January 1, 2024, to August 25, 2024 and for the year ended December 31, 2023 represent Capital Clean Energy Carriers Corp. as a partnership prior to the Conversion (Note 1). The statements below for the year ended December 31, 2025 and for the period from August 26, 2024, to December 31, 2024, represent Capital Clean Energy Carriers Corp. as a corporation subsequent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Conversion.</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3040" w:type="dxa"/>
            <w:vAlign w:val="bottom"/>
          </w:tcPr>
          <w:p>
            <w:pPr>
              <w:spacing w:after="0"/>
              <w:rPr>
                <w:sz w:val="6"/>
                <w:szCs w:val="6"/>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No. of</w:t>
            </w: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Share</w:t>
            </w: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8"/>
              </w:rPr>
              <w:t>General</w:t>
            </w:r>
          </w:p>
        </w:tc>
        <w:tc>
          <w:tcPr>
            <w:tcW w:w="100" w:type="dxa"/>
            <w:vAlign w:val="bottom"/>
          </w:tcPr>
          <w:p>
            <w:pPr>
              <w:spacing w:after="0"/>
              <w:rPr>
                <w:sz w:val="6"/>
                <w:szCs w:val="6"/>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30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80"/>
        </w:trPr>
        <w:tc>
          <w:tcPr>
            <w:tcW w:w="3040" w:type="dxa"/>
            <w:vAlign w:val="bottom"/>
          </w:tcPr>
          <w:p>
            <w:pPr>
              <w:spacing w:after="0"/>
              <w:rPr>
                <w:sz w:val="6"/>
                <w:szCs w:val="6"/>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Partner</w:t>
            </w:r>
          </w:p>
        </w:tc>
        <w:tc>
          <w:tcPr>
            <w:tcW w:w="100" w:type="dxa"/>
            <w:vAlign w:val="bottom"/>
          </w:tcPr>
          <w:p>
            <w:pPr>
              <w:spacing w:after="0"/>
              <w:rPr>
                <w:sz w:val="6"/>
                <w:szCs w:val="6"/>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Unitholders</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9"/>
              </w:rPr>
              <w:t>Comprehensive</w:t>
            </w: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30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3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040" w:type="dxa"/>
            <w:vAlign w:val="bottom"/>
            <w:tcBorders>
              <w:top w:val="single" w:sz="8" w:color="auto"/>
              <w:bottom w:val="single" w:sz="8" w:color="auto"/>
            </w:tcBorders>
            <w:shd w:val="clear" w:color="auto" w:fill="CCEEFF"/>
          </w:tcPr>
          <w:p>
            <w:pPr>
              <w:spacing w:after="0" w:line="140" w:lineRule="exact"/>
              <w:rPr>
                <w:sz w:val="20"/>
                <w:szCs w:val="20"/>
                <w:color w:val="auto"/>
              </w:rPr>
            </w:pPr>
            <w:r>
              <w:rPr>
                <w:rFonts w:ascii="Times New Roman" w:cs="Times New Roman" w:eastAsia="Times New Roman" w:hAnsi="Times New Roman"/>
                <w:sz w:val="13"/>
                <w:szCs w:val="13"/>
                <w:b w:val="1"/>
                <w:bCs w:val="1"/>
                <w:color w:val="auto"/>
              </w:rPr>
              <w:t>Balance at January 1, 2023</w:t>
            </w:r>
          </w:p>
        </w:tc>
        <w:tc>
          <w:tcPr>
            <w:tcW w:w="640" w:type="dxa"/>
            <w:vAlign w:val="bottom"/>
            <w:tcBorders>
              <w:top w:val="single" w:sz="8" w:color="auto"/>
              <w:bottom w:val="single" w:sz="8" w:color="auto"/>
            </w:tcBorders>
            <w:shd w:val="clear" w:color="auto" w:fill="CCEEFF"/>
          </w:tcPr>
          <w:p>
            <w:pPr>
              <w:ind w:left="480"/>
              <w:spacing w:after="0" w:line="140"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EEFF"/>
              <w:bottom w:val="single" w:sz="8" w:color="auto"/>
            </w:tcBorders>
            <w:shd w:val="clear" w:color="auto" w:fill="CCEEFF"/>
          </w:tcPr>
          <w:p>
            <w:pPr>
              <w:spacing w:after="0"/>
              <w:rPr>
                <w:sz w:val="12"/>
                <w:szCs w:val="12"/>
                <w:color w:val="auto"/>
              </w:rPr>
            </w:pPr>
          </w:p>
        </w:tc>
        <w:tc>
          <w:tcPr>
            <w:tcW w:w="180" w:type="dxa"/>
            <w:vAlign w:val="bottom"/>
            <w:tcBorders>
              <w:top w:val="single" w:sz="8" w:color="CCEEFF"/>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bottom w:val="single" w:sz="8" w:color="auto"/>
            </w:tcBorders>
            <w:shd w:val="clear" w:color="auto" w:fill="CCEEFF"/>
          </w:tcPr>
          <w:p>
            <w:pPr>
              <w:spacing w:after="0"/>
              <w:rPr>
                <w:sz w:val="12"/>
                <w:szCs w:val="12"/>
                <w:color w:val="auto"/>
              </w:rPr>
            </w:pPr>
          </w:p>
        </w:tc>
        <w:tc>
          <w:tcPr>
            <w:tcW w:w="160" w:type="dxa"/>
            <w:vAlign w:val="bottom"/>
            <w:tcBorders>
              <w:top w:val="single" w:sz="8" w:color="CCEEFF"/>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b w:val="1"/>
                <w:bCs w:val="1"/>
                <w:color w:val="auto"/>
              </w:rPr>
              <w:t>12,414</w:t>
            </w:r>
          </w:p>
        </w:tc>
        <w:tc>
          <w:tcPr>
            <w:tcW w:w="240" w:type="dxa"/>
            <w:vAlign w:val="bottom"/>
            <w:tcBorders>
              <w:top w:val="single" w:sz="8" w:color="CCEEFF"/>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b w:val="1"/>
                <w:bCs w:val="1"/>
                <w:color w:val="auto"/>
              </w:rPr>
              <w:t>634,605</w:t>
            </w:r>
          </w:p>
        </w:tc>
        <w:tc>
          <w:tcPr>
            <w:tcW w:w="40" w:type="dxa"/>
            <w:vAlign w:val="bottom"/>
            <w:tcBorders>
              <w:top w:val="single" w:sz="8" w:color="CCEEFF"/>
              <w:bottom w:val="single" w:sz="8" w:color="auto"/>
            </w:tcBorders>
            <w:shd w:val="clear" w:color="auto" w:fill="CCEEFF"/>
          </w:tcPr>
          <w:p>
            <w:pPr>
              <w:spacing w:after="0"/>
              <w:rPr>
                <w:sz w:val="12"/>
                <w:szCs w:val="12"/>
                <w:color w:val="auto"/>
              </w:rPr>
            </w:pPr>
          </w:p>
        </w:tc>
        <w:tc>
          <w:tcPr>
            <w:tcW w:w="40" w:type="dxa"/>
            <w:vAlign w:val="bottom"/>
            <w:tcBorders>
              <w:top w:val="single" w:sz="8" w:color="CCEEFF"/>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b w:val="1"/>
                <w:bCs w:val="1"/>
                <w:color w:val="auto"/>
              </w:rPr>
              <w:t>(3,827)</w:t>
            </w:r>
          </w:p>
        </w:tc>
        <w:tc>
          <w:tcPr>
            <w:tcW w:w="40" w:type="dxa"/>
            <w:vAlign w:val="bottom"/>
            <w:tcBorders>
              <w:top w:val="single" w:sz="8" w:color="CCEEFF"/>
              <w:bottom w:val="single" w:sz="8" w:color="auto"/>
            </w:tcBorders>
            <w:shd w:val="clear" w:color="auto" w:fill="CCEEFF"/>
          </w:tcPr>
          <w:p>
            <w:pPr>
              <w:spacing w:after="0"/>
              <w:rPr>
                <w:sz w:val="12"/>
                <w:szCs w:val="12"/>
                <w:color w:val="auto"/>
              </w:rPr>
            </w:pPr>
          </w:p>
        </w:tc>
        <w:tc>
          <w:tcPr>
            <w:tcW w:w="40" w:type="dxa"/>
            <w:vAlign w:val="bottom"/>
            <w:tcBorders>
              <w:top w:val="single" w:sz="8" w:color="CCEEFF"/>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top w:val="single" w:sz="8" w:color="CCEEFF"/>
              <w:bottom w:val="single" w:sz="8" w:color="auto"/>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top w:val="single" w:sz="8" w:color="auto"/>
              <w:bottom w:val="single" w:sz="8" w:color="auto"/>
            </w:tcBorders>
            <w:shd w:val="clear" w:color="auto" w:fill="CCEEFF"/>
          </w:tcPr>
          <w:p>
            <w:pPr>
              <w:jc w:val="right"/>
              <w:ind w:right="13"/>
              <w:spacing w:after="0" w:line="140"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CCEEFF"/>
              <w:bottom w:val="single" w:sz="8" w:color="auto"/>
            </w:tcBorders>
            <w:shd w:val="clear" w:color="auto" w:fill="CCEEFF"/>
          </w:tcPr>
          <w:p>
            <w:pPr>
              <w:spacing w:after="0"/>
              <w:rPr>
                <w:sz w:val="12"/>
                <w:szCs w:val="12"/>
                <w:color w:val="auto"/>
              </w:rPr>
            </w:pPr>
          </w:p>
        </w:tc>
        <w:tc>
          <w:tcPr>
            <w:tcW w:w="260" w:type="dxa"/>
            <w:vAlign w:val="bottom"/>
            <w:tcBorders>
              <w:top w:val="single" w:sz="8" w:color="CCEEFF"/>
              <w:bottom w:val="single" w:sz="8" w:color="auto"/>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top w:val="single" w:sz="8" w:color="CCEEFF"/>
              <w:bottom w:val="single" w:sz="8" w:color="auto"/>
            </w:tcBorders>
            <w:gridSpan w:val="2"/>
            <w:shd w:val="clear" w:color="auto" w:fill="CCEEFF"/>
          </w:tcPr>
          <w:p>
            <w:pPr>
              <w:jc w:val="right"/>
              <w:ind w:right="80"/>
              <w:spacing w:after="0" w:line="140" w:lineRule="exact"/>
              <w:rPr>
                <w:sz w:val="20"/>
                <w:szCs w:val="20"/>
                <w:color w:val="auto"/>
              </w:rPr>
            </w:pPr>
            <w:r>
              <w:rPr>
                <w:rFonts w:ascii="Times New Roman" w:cs="Times New Roman" w:eastAsia="Times New Roman" w:hAnsi="Times New Roman"/>
                <w:sz w:val="13"/>
                <w:szCs w:val="13"/>
                <w:b w:val="1"/>
                <w:bCs w:val="1"/>
                <w:color w:val="auto"/>
              </w:rPr>
              <w:t>(4,766)</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b w:val="1"/>
                <w:bCs w:val="1"/>
                <w:color w:val="auto"/>
              </w:rPr>
              <w:t>638,426</w:t>
            </w:r>
          </w:p>
        </w:tc>
        <w:tc>
          <w:tcPr>
            <w:tcW w:w="0" w:type="dxa"/>
            <w:vAlign w:val="bottom"/>
          </w:tcPr>
          <w:p>
            <w:pPr>
              <w:spacing w:after="0"/>
              <w:rPr>
                <w:sz w:val="1"/>
                <w:szCs w:val="1"/>
                <w:color w:val="auto"/>
              </w:rPr>
            </w:pPr>
          </w:p>
        </w:tc>
      </w:tr>
      <w:tr>
        <w:trPr>
          <w:trHeight w:val="137"/>
        </w:trPr>
        <w:tc>
          <w:tcPr>
            <w:tcW w:w="304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Dividends declared (distributions of $ 0.60 per common</w:t>
            </w:r>
          </w:p>
        </w:tc>
        <w:tc>
          <w:tcPr>
            <w:tcW w:w="8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(209)</w:t>
            </w:r>
          </w:p>
        </w:tc>
        <w:tc>
          <w:tcPr>
            <w:tcW w:w="100" w:type="dxa"/>
            <w:vAlign w:val="bottom"/>
          </w:tcPr>
          <w:p>
            <w:pPr>
              <w:spacing w:after="0"/>
              <w:rPr>
                <w:sz w:val="11"/>
                <w:szCs w:val="11"/>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(12,033)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(12,242)</w:t>
            </w:r>
          </w:p>
        </w:tc>
        <w:tc>
          <w:tcPr>
            <w:tcW w:w="0" w:type="dxa"/>
            <w:vAlign w:val="bottom"/>
          </w:tcPr>
          <w:p>
            <w:pPr>
              <w:spacing w:after="0"/>
              <w:rPr>
                <w:sz w:val="1"/>
                <w:szCs w:val="1"/>
                <w:color w:val="auto"/>
              </w:rPr>
            </w:pPr>
          </w:p>
        </w:tc>
      </w:tr>
      <w:tr>
        <w:trPr>
          <w:trHeight w:val="93"/>
        </w:trPr>
        <w:tc>
          <w:tcPr>
            <w:tcW w:w="30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unit)</w:t>
            </w:r>
          </w:p>
        </w:tc>
        <w:tc>
          <w:tcPr>
            <w:tcW w:w="8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30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Partnership’s net income</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680</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46,528</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47,208</w:t>
            </w:r>
          </w:p>
        </w:tc>
        <w:tc>
          <w:tcPr>
            <w:tcW w:w="0" w:type="dxa"/>
            <w:vAlign w:val="bottom"/>
          </w:tcPr>
          <w:p>
            <w:pPr>
              <w:spacing w:after="0"/>
              <w:rPr>
                <w:sz w:val="1"/>
                <w:szCs w:val="1"/>
                <w:color w:val="auto"/>
              </w:rPr>
            </w:pPr>
          </w:p>
        </w:tc>
      </w:tr>
      <w:tr>
        <w:trPr>
          <w:trHeight w:val="147"/>
        </w:trPr>
        <w:tc>
          <w:tcPr>
            <w:tcW w:w="30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Issuance of Partnership’s common units, net - rights</w:t>
            </w:r>
          </w:p>
        </w:tc>
        <w:tc>
          <w:tcPr>
            <w:tcW w:w="8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498,687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498,687</w:t>
            </w:r>
          </w:p>
        </w:tc>
        <w:tc>
          <w:tcPr>
            <w:tcW w:w="0" w:type="dxa"/>
            <w:vAlign w:val="bottom"/>
          </w:tcPr>
          <w:p>
            <w:pPr>
              <w:spacing w:after="0"/>
              <w:rPr>
                <w:sz w:val="1"/>
                <w:szCs w:val="1"/>
                <w:color w:val="auto"/>
              </w:rPr>
            </w:pPr>
          </w:p>
        </w:tc>
      </w:tr>
      <w:tr>
        <w:trPr>
          <w:trHeight w:val="93"/>
        </w:trPr>
        <w:tc>
          <w:tcPr>
            <w:tcW w:w="30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offering (Note 14)</w:t>
            </w:r>
          </w:p>
        </w:tc>
        <w:tc>
          <w:tcPr>
            <w:tcW w:w="8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30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compensation expense (Note 15)</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3,786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3,786</w:t>
            </w:r>
          </w:p>
        </w:tc>
        <w:tc>
          <w:tcPr>
            <w:tcW w:w="0" w:type="dxa"/>
            <w:vAlign w:val="bottom"/>
          </w:tcPr>
          <w:p>
            <w:pPr>
              <w:spacing w:after="0"/>
              <w:rPr>
                <w:sz w:val="1"/>
                <w:szCs w:val="1"/>
                <w:color w:val="auto"/>
              </w:rPr>
            </w:pPr>
          </w:p>
        </w:tc>
      </w:tr>
      <w:tr>
        <w:trPr>
          <w:trHeight w:val="160"/>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Repurchase of common units (Note 14)</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(4,112)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(4,112)</w:t>
            </w:r>
          </w:p>
        </w:tc>
        <w:tc>
          <w:tcPr>
            <w:tcW w:w="0" w:type="dxa"/>
            <w:vAlign w:val="bottom"/>
          </w:tcPr>
          <w:p>
            <w:pPr>
              <w:spacing w:after="0"/>
              <w:rPr>
                <w:sz w:val="1"/>
                <w:szCs w:val="1"/>
                <w:color w:val="auto"/>
              </w:rPr>
            </w:pPr>
          </w:p>
        </w:tc>
      </w:tr>
      <w:tr>
        <w:trPr>
          <w:trHeight w:val="160"/>
        </w:trPr>
        <w:tc>
          <w:tcPr>
            <w:tcW w:w="3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income (Note 9)</w:t>
            </w:r>
          </w:p>
        </w:tc>
        <w:tc>
          <w:tcPr>
            <w:tcW w:w="820" w:type="dxa"/>
            <w:vAlign w:val="bottom"/>
            <w:tcBorders>
              <w:bottom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3,180</w:t>
            </w:r>
          </w:p>
        </w:tc>
        <w:tc>
          <w:tcPr>
            <w:tcW w:w="1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3,180</w:t>
            </w:r>
          </w:p>
        </w:tc>
        <w:tc>
          <w:tcPr>
            <w:tcW w:w="0" w:type="dxa"/>
            <w:vAlign w:val="bottom"/>
          </w:tcPr>
          <w:p>
            <w:pPr>
              <w:spacing w:after="0"/>
              <w:rPr>
                <w:sz w:val="1"/>
                <w:szCs w:val="1"/>
                <w:color w:val="auto"/>
              </w:rPr>
            </w:pPr>
          </w:p>
        </w:tc>
      </w:tr>
      <w:tr>
        <w:trPr>
          <w:trHeight w:val="150"/>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82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12,885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1,171,573</w:t>
            </w: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(7,939)</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(1,586)</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1,174,933</w:t>
            </w:r>
          </w:p>
        </w:tc>
        <w:tc>
          <w:tcPr>
            <w:tcW w:w="0" w:type="dxa"/>
            <w:vAlign w:val="bottom"/>
          </w:tcPr>
          <w:p>
            <w:pPr>
              <w:spacing w:after="0"/>
              <w:rPr>
                <w:sz w:val="1"/>
                <w:szCs w:val="1"/>
                <w:color w:val="auto"/>
              </w:rPr>
            </w:pPr>
          </w:p>
        </w:tc>
      </w:tr>
      <w:tr>
        <w:trPr>
          <w:trHeight w:val="137"/>
        </w:trPr>
        <w:tc>
          <w:tcPr>
            <w:tcW w:w="30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Dividends declared (distributions of $0.45 per common</w:t>
            </w:r>
          </w:p>
        </w:tc>
        <w:tc>
          <w:tcPr>
            <w:tcW w:w="82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(155)</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(24,900)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(25,055)</w:t>
            </w:r>
          </w:p>
        </w:tc>
        <w:tc>
          <w:tcPr>
            <w:tcW w:w="0" w:type="dxa"/>
            <w:vAlign w:val="bottom"/>
          </w:tcPr>
          <w:p>
            <w:pPr>
              <w:spacing w:after="0"/>
              <w:rPr>
                <w:sz w:val="1"/>
                <w:szCs w:val="1"/>
                <w:color w:val="auto"/>
              </w:rPr>
            </w:pPr>
          </w:p>
        </w:tc>
      </w:tr>
      <w:tr>
        <w:trPr>
          <w:trHeight w:val="93"/>
        </w:trPr>
        <w:tc>
          <w:tcPr>
            <w:tcW w:w="3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unit)</w:t>
            </w:r>
          </w:p>
        </w:tc>
        <w:tc>
          <w:tcPr>
            <w:tcW w:w="82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3040" w:type="dxa"/>
            <w:vAlign w:val="bottom"/>
            <w:vMerge w:val="continue"/>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Partnership’s net income</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516</w:t>
            </w:r>
          </w:p>
        </w:tc>
        <w:tc>
          <w:tcPr>
            <w:tcW w:w="10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81,745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82,261</w:t>
            </w:r>
          </w:p>
        </w:tc>
        <w:tc>
          <w:tcPr>
            <w:tcW w:w="0" w:type="dxa"/>
            <w:vAlign w:val="bottom"/>
          </w:tcPr>
          <w:p>
            <w:pPr>
              <w:spacing w:after="0"/>
              <w:rPr>
                <w:sz w:val="1"/>
                <w:szCs w:val="1"/>
                <w:color w:val="auto"/>
              </w:rPr>
            </w:pPr>
          </w:p>
        </w:tc>
      </w:tr>
      <w:tr>
        <w:trPr>
          <w:trHeight w:val="16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compensation expense (Note 15)</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4,093</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4,093</w:t>
            </w:r>
          </w:p>
        </w:tc>
        <w:tc>
          <w:tcPr>
            <w:tcW w:w="0" w:type="dxa"/>
            <w:vAlign w:val="bottom"/>
          </w:tcPr>
          <w:p>
            <w:pPr>
              <w:spacing w:after="0"/>
              <w:rPr>
                <w:sz w:val="1"/>
                <w:szCs w:val="1"/>
                <w:color w:val="auto"/>
              </w:rPr>
            </w:pPr>
          </w:p>
        </w:tc>
      </w:tr>
      <w:tr>
        <w:trPr>
          <w:trHeight w:val="160"/>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Other comprehensive income (Note 9)</w:t>
            </w:r>
          </w:p>
        </w:tc>
        <w:tc>
          <w:tcPr>
            <w:tcW w:w="82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0" w:type="dxa"/>
            <w:vAlign w:val="bottom"/>
          </w:tcPr>
          <w:p>
            <w:pPr>
              <w:spacing w:after="0"/>
              <w:rPr>
                <w:sz w:val="1"/>
                <w:szCs w:val="1"/>
                <w:color w:val="auto"/>
              </w:rPr>
            </w:pPr>
          </w:p>
        </w:tc>
      </w:tr>
      <w:tr>
        <w:trPr>
          <w:trHeight w:val="150"/>
        </w:trPr>
        <w:tc>
          <w:tcPr>
            <w:tcW w:w="3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August 25, 2024</w:t>
            </w:r>
          </w:p>
        </w:tc>
        <w:tc>
          <w:tcPr>
            <w:tcW w:w="820" w:type="dxa"/>
            <w:vAlign w:val="bottom"/>
            <w:tcBorders>
              <w:bottom w:val="single" w:sz="8" w:color="auto"/>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13,246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1,232,511</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(7,939)</w:t>
            </w:r>
          </w:p>
        </w:tc>
        <w:tc>
          <w:tcPr>
            <w:tcW w:w="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Borders>
              <w:bottom w:val="single" w:sz="8" w:color="auto"/>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(1,407)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1,236,411</w:t>
            </w:r>
          </w:p>
        </w:tc>
        <w:tc>
          <w:tcPr>
            <w:tcW w:w="0" w:type="dxa"/>
            <w:vAlign w:val="bottom"/>
          </w:tcPr>
          <w:p>
            <w:pPr>
              <w:spacing w:after="0"/>
              <w:rPr>
                <w:sz w:val="1"/>
                <w:szCs w:val="1"/>
                <w:color w:val="auto"/>
              </w:rPr>
            </w:pPr>
          </w:p>
        </w:tc>
      </w:tr>
      <w:tr>
        <w:trPr>
          <w:trHeight w:val="137"/>
        </w:trPr>
        <w:tc>
          <w:tcPr>
            <w:tcW w:w="304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Dividends declared (distributions of $0.15 per common</w:t>
            </w:r>
          </w:p>
        </w:tc>
        <w:tc>
          <w:tcPr>
            <w:tcW w:w="8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(8,758)</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(8,758)</w:t>
            </w:r>
          </w:p>
        </w:tc>
        <w:tc>
          <w:tcPr>
            <w:tcW w:w="0" w:type="dxa"/>
            <w:vAlign w:val="bottom"/>
          </w:tcPr>
          <w:p>
            <w:pPr>
              <w:spacing w:after="0"/>
              <w:rPr>
                <w:sz w:val="1"/>
                <w:szCs w:val="1"/>
                <w:color w:val="auto"/>
              </w:rPr>
            </w:pPr>
          </w:p>
        </w:tc>
      </w:tr>
      <w:tr>
        <w:trPr>
          <w:trHeight w:val="93"/>
        </w:trPr>
        <w:tc>
          <w:tcPr>
            <w:tcW w:w="30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share)</w:t>
            </w:r>
          </w:p>
        </w:tc>
        <w:tc>
          <w:tcPr>
            <w:tcW w:w="8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30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67880" cy="1016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8">
                      <a:extLst>
                        <a:ext uri="{28A0092B-C50C-407E-A947-70E740481C1C}"/>
                      </a:extLst>
                    </a:blip>
                    <a:srcRect/>
                    <a:stretch>
                      <a:fillRect/>
                    </a:stretch>
                  </pic:blipFill>
                  <pic:spPr bwMode="auto">
                    <a:xfrm>
                      <a:off x="0" y="0"/>
                      <a:ext cx="7167880" cy="101600"/>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p>
      <w:pPr>
        <w:ind w:right="860"/>
        <w:spacing w:after="0" w:line="256" w:lineRule="auto"/>
        <w:rPr>
          <w:sz w:val="20"/>
          <w:szCs w:val="20"/>
          <w:color w:val="auto"/>
        </w:rPr>
      </w:pPr>
      <w:r>
        <w:rPr>
          <w:rFonts w:ascii="Times New Roman" w:cs="Times New Roman" w:eastAsia="Times New Roman" w:hAnsi="Times New Roman"/>
          <w:sz w:val="13"/>
          <w:szCs w:val="13"/>
          <w:color w:val="auto"/>
        </w:rPr>
        <w:t>Net Income from 26/8/24 to 31/12/24 Equity compensation expense (Note 15)</w:t>
      </w:r>
    </w:p>
    <w:p>
      <w:pPr>
        <w:jc w:val="both"/>
        <w:ind w:right="160"/>
        <w:spacing w:after="0" w:line="256" w:lineRule="auto"/>
        <w:rPr>
          <w:sz w:val="20"/>
          <w:szCs w:val="20"/>
          <w:color w:val="auto"/>
        </w:rPr>
      </w:pPr>
      <w:r>
        <w:rPr>
          <w:rFonts w:ascii="Times New Roman" w:cs="Times New Roman" w:eastAsia="Times New Roman" w:hAnsi="Times New Roman"/>
          <w:sz w:val="13"/>
          <w:szCs w:val="13"/>
          <w:color w:val="auto"/>
        </w:rPr>
        <w:t>Conversion of 54,887,313 common units to common shares and 1,551,061 treasury units to treasury shares (Notes 1, 14)</w:t>
      </w:r>
    </w:p>
    <w:p>
      <w:pPr>
        <w:spacing w:after="0" w:line="1"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13"/>
          <w:szCs w:val="13"/>
          <w:color w:val="auto"/>
        </w:rPr>
        <w:t>Conversion of 348,570 general partner units into 3,500,000 common shares (Notes 1, 14)</w:t>
      </w:r>
    </w:p>
    <w:p>
      <w:pPr>
        <w:spacing w:after="0" w:line="256" w:lineRule="auto"/>
        <w:rPr>
          <w:sz w:val="20"/>
          <w:szCs w:val="20"/>
          <w:color w:val="auto"/>
        </w:rPr>
      </w:pPr>
      <w:r>
        <w:rPr>
          <w:rFonts w:ascii="Times New Roman" w:cs="Times New Roman" w:eastAsia="Times New Roman" w:hAnsi="Times New Roman"/>
          <w:sz w:val="13"/>
          <w:szCs w:val="13"/>
          <w:color w:val="auto"/>
        </w:rPr>
        <w:t>Reclassification resulting from the Conversion (Notes 1, 14)</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3"/>
          <w:szCs w:val="13"/>
          <w:color w:val="auto"/>
        </w:rPr>
        <w:t>—</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56,438,374</w:t>
      </w: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3,500,000</w:t>
      </w:r>
    </w:p>
    <w:p>
      <w:pPr>
        <w:spacing w:after="0" w:line="1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400" w:type="dxa"/>
            <w:vAlign w:val="bottom"/>
          </w:tcPr>
          <w:p>
            <w:pPr>
              <w:jc w:val="right"/>
              <w:ind w:right="133"/>
              <w:spacing w:after="0" w:line="147"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133"/>
              <w:spacing w:after="0" w:line="147"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133"/>
              <w:spacing w:after="0" w:line="147"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73"/>
              <w:spacing w:after="0" w:line="147"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253"/>
              <w:spacing w:after="0" w:line="147"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ind w:right="613"/>
              <w:spacing w:after="0" w:line="147" w:lineRule="exact"/>
              <w:rPr>
                <w:sz w:val="20"/>
                <w:szCs w:val="20"/>
                <w:color w:val="auto"/>
              </w:rPr>
            </w:pPr>
            <w:r>
              <w:rPr>
                <w:rFonts w:ascii="Times New Roman" w:cs="Times New Roman" w:eastAsia="Times New Roman" w:hAnsi="Times New Roman"/>
                <w:sz w:val="13"/>
                <w:szCs w:val="13"/>
                <w:color w:val="auto"/>
              </w:rPr>
              <w:t>111,373</w:t>
            </w:r>
          </w:p>
        </w:tc>
        <w:tc>
          <w:tcPr>
            <w:tcW w:w="1000" w:type="dxa"/>
            <w:vAlign w:val="bottom"/>
          </w:tcPr>
          <w:p>
            <w:pPr>
              <w:ind w:left="70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111,373</w:t>
            </w:r>
          </w:p>
        </w:tc>
      </w:tr>
      <w:tr>
        <w:trPr>
          <w:trHeight w:val="173"/>
        </w:trPr>
        <w:tc>
          <w:tcPr>
            <w:tcW w:w="40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253"/>
              <w:spacing w:after="0"/>
              <w:rPr>
                <w:sz w:val="20"/>
                <w:szCs w:val="20"/>
                <w:color w:val="auto"/>
              </w:rPr>
            </w:pPr>
            <w:r>
              <w:rPr>
                <w:rFonts w:ascii="Times New Roman" w:cs="Times New Roman" w:eastAsia="Times New Roman" w:hAnsi="Times New Roman"/>
                <w:sz w:val="13"/>
                <w:szCs w:val="13"/>
                <w:color w:val="auto"/>
              </w:rPr>
              <w:t>2,825</w:t>
            </w:r>
          </w:p>
        </w:tc>
        <w:tc>
          <w:tcPr>
            <w:tcW w:w="1420" w:type="dxa"/>
            <w:vAlign w:val="bottom"/>
          </w:tcPr>
          <w:p>
            <w:pPr>
              <w:jc w:val="right"/>
              <w:ind w:right="613"/>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2,825</w:t>
            </w:r>
          </w:p>
        </w:tc>
      </w:tr>
      <w:tr>
        <w:trPr>
          <w:trHeight w:val="319"/>
        </w:trPr>
        <w:tc>
          <w:tcPr>
            <w:tcW w:w="40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2"/>
              </w:rPr>
              <w:t>564</w:t>
            </w: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253"/>
              <w:spacing w:after="0"/>
              <w:rPr>
                <w:sz w:val="20"/>
                <w:szCs w:val="20"/>
                <w:color w:val="auto"/>
              </w:rPr>
            </w:pPr>
            <w:r>
              <w:rPr>
                <w:rFonts w:ascii="Times New Roman" w:cs="Times New Roman" w:eastAsia="Times New Roman" w:hAnsi="Times New Roman"/>
                <w:sz w:val="13"/>
                <w:szCs w:val="13"/>
                <w:color w:val="auto"/>
              </w:rPr>
              <w:t>(564)</w:t>
            </w:r>
          </w:p>
        </w:tc>
        <w:tc>
          <w:tcPr>
            <w:tcW w:w="1420" w:type="dxa"/>
            <w:vAlign w:val="bottom"/>
          </w:tcPr>
          <w:p>
            <w:pPr>
              <w:jc w:val="right"/>
              <w:ind w:right="613"/>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99"/>
        </w:trPr>
        <w:tc>
          <w:tcPr>
            <w:tcW w:w="40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35</w:t>
            </w: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46,184</w:t>
            </w: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(46,184)</w:t>
            </w:r>
          </w:p>
        </w:tc>
        <w:tc>
          <w:tcPr>
            <w:tcW w:w="6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253"/>
              <w:spacing w:after="0"/>
              <w:rPr>
                <w:sz w:val="20"/>
                <w:szCs w:val="20"/>
                <w:color w:val="auto"/>
              </w:rPr>
            </w:pPr>
            <w:r>
              <w:rPr>
                <w:rFonts w:ascii="Times New Roman" w:cs="Times New Roman" w:eastAsia="Times New Roman" w:hAnsi="Times New Roman"/>
                <w:sz w:val="13"/>
                <w:szCs w:val="13"/>
                <w:color w:val="auto"/>
              </w:rPr>
              <w:t>(35)</w:t>
            </w:r>
          </w:p>
        </w:tc>
        <w:tc>
          <w:tcPr>
            <w:tcW w:w="1420" w:type="dxa"/>
            <w:vAlign w:val="bottom"/>
          </w:tcPr>
          <w:p>
            <w:pPr>
              <w:jc w:val="right"/>
              <w:ind w:right="613"/>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19"/>
        </w:trPr>
        <w:tc>
          <w:tcPr>
            <w:tcW w:w="40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(59,430)</w:t>
            </w: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(1,186,327)</w:t>
            </w:r>
          </w:p>
        </w:tc>
        <w:tc>
          <w:tcPr>
            <w:tcW w:w="6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7,939</w:t>
            </w:r>
          </w:p>
        </w:tc>
        <w:tc>
          <w:tcPr>
            <w:tcW w:w="980" w:type="dxa"/>
            <w:vAlign w:val="bottom"/>
          </w:tcPr>
          <w:p>
            <w:pPr>
              <w:jc w:val="right"/>
              <w:ind w:right="253"/>
              <w:spacing w:after="0"/>
              <w:rPr>
                <w:sz w:val="20"/>
                <w:szCs w:val="20"/>
                <w:color w:val="auto"/>
              </w:rPr>
            </w:pPr>
            <w:r>
              <w:rPr>
                <w:rFonts w:ascii="Times New Roman" w:cs="Times New Roman" w:eastAsia="Times New Roman" w:hAnsi="Times New Roman"/>
                <w:sz w:val="13"/>
                <w:szCs w:val="13"/>
                <w:color w:val="auto"/>
              </w:rPr>
              <w:t>1,237,818</w:t>
            </w:r>
          </w:p>
        </w:tc>
        <w:tc>
          <w:tcPr>
            <w:tcW w:w="1420" w:type="dxa"/>
            <w:vAlign w:val="bottom"/>
          </w:tcPr>
          <w:p>
            <w:pPr>
              <w:jc w:val="right"/>
              <w:ind w:right="613"/>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-2780665</wp:posOffset>
            </wp:positionH>
            <wp:positionV relativeFrom="paragraph">
              <wp:posOffset>-658495</wp:posOffset>
            </wp:positionV>
            <wp:extent cx="7167880" cy="3041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9">
                      <a:extLst>
                        <a:ext uri="{28A0092B-C50C-407E-A947-70E740481C1C}"/>
                      </a:extLst>
                    </a:blip>
                    <a:srcRect/>
                    <a:stretch>
                      <a:fillRect/>
                    </a:stretch>
                  </pic:blipFill>
                  <pic:spPr bwMode="auto">
                    <a:xfrm>
                      <a:off x="0" y="0"/>
                      <a:ext cx="7167880" cy="304165"/>
                    </a:xfrm>
                    <a:prstGeom prst="rect">
                      <a:avLst/>
                    </a:prstGeom>
                    <a:noFill/>
                  </pic:spPr>
                </pic:pic>
              </a:graphicData>
            </a:graphic>
          </wp:anchor>
        </w:drawing>
        <w:drawing>
          <wp:anchor simplePos="0" relativeHeight="251657728" behindDoc="1" locked="0" layoutInCell="0" allowOverlap="1">
            <wp:simplePos x="0" y="0"/>
            <wp:positionH relativeFrom="column">
              <wp:posOffset>-2780665</wp:posOffset>
            </wp:positionH>
            <wp:positionV relativeFrom="paragraph">
              <wp:posOffset>-151765</wp:posOffset>
            </wp:positionV>
            <wp:extent cx="7167880" cy="2025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0">
                      <a:extLst>
                        <a:ext uri="{28A0092B-C50C-407E-A947-70E740481C1C}"/>
                      </a:extLst>
                    </a:blip>
                    <a:srcRect/>
                    <a:stretch>
                      <a:fillRect/>
                    </a:stretch>
                  </pic:blipFill>
                  <pic:spPr bwMode="auto">
                    <a:xfrm>
                      <a:off x="0" y="0"/>
                      <a:ext cx="7167880" cy="202565"/>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3">
            <w:col w:w="3000" w:space="80"/>
            <w:col w:w="600" w:space="700"/>
            <w:col w:w="6900"/>
          </w:cols>
          <w:pgMar w:left="300" w:top="205" w:right="319" w:bottom="1440" w:gutter="0" w:footer="0" w:header="0"/>
          <w:type w:val="continuous"/>
        </w:sectPr>
      </w:pPr>
    </w:p>
    <w:tbl>
      <w:tblPr>
        <w:tblLayout w:type="fixed"/>
        <w:tblInd w:w="0" w:type="dxa"/>
        <w:tblCellMar>
          <w:top w:w="0" w:type="dxa"/>
          <w:left w:w="0" w:type="dxa"/>
          <w:bottom w:w="0" w:type="dxa"/>
          <w:right w:w="0" w:type="dxa"/>
        </w:tblCellMar>
      </w:tblPr>
      <w:tr>
        <w:trPr>
          <w:trHeight w:val="160"/>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Other comprehensive income (Note 9)</w:t>
            </w:r>
          </w:p>
        </w:tc>
        <w:tc>
          <w:tcPr>
            <w:tcW w:w="8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1,118</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1,118</w:t>
            </w:r>
          </w:p>
        </w:tc>
        <w:tc>
          <w:tcPr>
            <w:tcW w:w="0" w:type="dxa"/>
            <w:vAlign w:val="bottom"/>
          </w:tcPr>
          <w:p>
            <w:pPr>
              <w:spacing w:after="0"/>
              <w:rPr>
                <w:sz w:val="1"/>
                <w:szCs w:val="1"/>
                <w:color w:val="auto"/>
              </w:rPr>
            </w:pPr>
          </w:p>
        </w:tc>
      </w:tr>
      <w:tr>
        <w:trPr>
          <w:trHeight w:val="150"/>
        </w:trPr>
        <w:tc>
          <w:tcPr>
            <w:tcW w:w="3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84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59,938,374</w:t>
            </w:r>
          </w:p>
        </w:tc>
        <w:tc>
          <w:tcPr>
            <w:tcW w:w="3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599</w:t>
            </w:r>
          </w:p>
        </w:tc>
        <w:tc>
          <w:tcPr>
            <w:tcW w:w="3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4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$ 1,240,044</w:t>
            </w:r>
          </w:p>
        </w:tc>
        <w:tc>
          <w:tcPr>
            <w:tcW w:w="110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$ 102,615</w:t>
            </w:r>
          </w:p>
        </w:tc>
        <w:tc>
          <w:tcPr>
            <w:tcW w:w="6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(289)</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$1,342,969</w:t>
            </w:r>
          </w:p>
        </w:tc>
        <w:tc>
          <w:tcPr>
            <w:tcW w:w="0" w:type="dxa"/>
            <w:vAlign w:val="bottom"/>
          </w:tcPr>
          <w:p>
            <w:pPr>
              <w:spacing w:after="0"/>
              <w:rPr>
                <w:sz w:val="1"/>
                <w:szCs w:val="1"/>
                <w:color w:val="auto"/>
              </w:rPr>
            </w:pPr>
          </w:p>
        </w:tc>
      </w:tr>
      <w:tr>
        <w:trPr>
          <w:trHeight w:val="137"/>
        </w:trPr>
        <w:tc>
          <w:tcPr>
            <w:tcW w:w="302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Dividends declared (distributions of $0.60 per common</w:t>
            </w:r>
          </w:p>
        </w:tc>
        <w:tc>
          <w:tcPr>
            <w:tcW w:w="84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1"/>
                <w:szCs w:val="11"/>
                <w:color w:val="auto"/>
              </w:rPr>
            </w:pPr>
          </w:p>
        </w:tc>
        <w:tc>
          <w:tcPr>
            <w:tcW w:w="48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1"/>
                <w:szCs w:val="11"/>
                <w:color w:val="auto"/>
              </w:rPr>
            </w:pP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1"/>
                <w:szCs w:val="11"/>
                <w:color w:val="auto"/>
              </w:rPr>
            </w:pP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vMerge w:val="restart"/>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vMerge w:val="restart"/>
          </w:tcPr>
          <w:p>
            <w:pPr>
              <w:jc w:val="right"/>
              <w:ind w:right="193"/>
              <w:spacing w:after="0"/>
              <w:rPr>
                <w:sz w:val="20"/>
                <w:szCs w:val="20"/>
                <w:color w:val="auto"/>
              </w:rPr>
            </w:pPr>
            <w:r>
              <w:rPr>
                <w:rFonts w:ascii="Times New Roman" w:cs="Times New Roman" w:eastAsia="Times New Roman" w:hAnsi="Times New Roman"/>
                <w:sz w:val="13"/>
                <w:szCs w:val="13"/>
                <w:color w:val="auto"/>
              </w:rPr>
              <w:t>(35,472)</w:t>
            </w:r>
          </w:p>
        </w:tc>
        <w:tc>
          <w:tcPr>
            <w:tcW w:w="6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(35,472)</w:t>
            </w:r>
          </w:p>
        </w:tc>
        <w:tc>
          <w:tcPr>
            <w:tcW w:w="0" w:type="dxa"/>
            <w:vAlign w:val="bottom"/>
          </w:tcPr>
          <w:p>
            <w:pPr>
              <w:spacing w:after="0"/>
              <w:rPr>
                <w:sz w:val="1"/>
                <w:szCs w:val="1"/>
                <w:color w:val="auto"/>
              </w:rPr>
            </w:pPr>
          </w:p>
        </w:tc>
      </w:tr>
      <w:tr>
        <w:trPr>
          <w:trHeight w:val="93"/>
        </w:trPr>
        <w:tc>
          <w:tcPr>
            <w:tcW w:w="30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share)</w:t>
            </w:r>
          </w:p>
        </w:tc>
        <w:tc>
          <w:tcPr>
            <w:tcW w:w="84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302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from operations</w:t>
            </w:r>
          </w:p>
        </w:tc>
        <w:tc>
          <w:tcPr>
            <w:tcW w:w="8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3"/>
                <w:szCs w:val="13"/>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rPr>
              <w:t>170,759</w:t>
            </w:r>
          </w:p>
        </w:tc>
        <w:tc>
          <w:tcPr>
            <w:tcW w:w="6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170,759</w:t>
            </w:r>
          </w:p>
        </w:tc>
        <w:tc>
          <w:tcPr>
            <w:tcW w:w="0" w:type="dxa"/>
            <w:vAlign w:val="bottom"/>
          </w:tcPr>
          <w:p>
            <w:pPr>
              <w:spacing w:after="0"/>
              <w:rPr>
                <w:sz w:val="1"/>
                <w:szCs w:val="1"/>
                <w:color w:val="auto"/>
              </w:rPr>
            </w:pPr>
          </w:p>
        </w:tc>
      </w:tr>
      <w:tr>
        <w:trPr>
          <w:trHeight w:val="16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Equity compensation expense (Note 15)</w:t>
            </w:r>
          </w:p>
        </w:tc>
        <w:tc>
          <w:tcPr>
            <w:tcW w:w="84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3"/>
                <w:szCs w:val="13"/>
                <w:color w:val="auto"/>
              </w:rPr>
            </w:pPr>
          </w:p>
        </w:tc>
        <w:tc>
          <w:tcPr>
            <w:tcW w:w="4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3"/>
                <w:szCs w:val="13"/>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3"/>
                <w:szCs w:val="13"/>
                <w:color w:val="auto"/>
              </w:rPr>
            </w:pPr>
          </w:p>
        </w:tc>
        <w:tc>
          <w:tcPr>
            <w:tcW w:w="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6,395</w:t>
            </w:r>
          </w:p>
        </w:tc>
        <w:tc>
          <w:tcPr>
            <w:tcW w:w="110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rPr>
              <w:t>(632)</w:t>
            </w:r>
          </w:p>
        </w:tc>
        <w:tc>
          <w:tcPr>
            <w:tcW w:w="6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5,763</w:t>
            </w:r>
          </w:p>
        </w:tc>
        <w:tc>
          <w:tcPr>
            <w:tcW w:w="0" w:type="dxa"/>
            <w:vAlign w:val="bottom"/>
          </w:tcPr>
          <w:p>
            <w:pPr>
              <w:spacing w:after="0"/>
              <w:rPr>
                <w:sz w:val="1"/>
                <w:szCs w:val="1"/>
                <w:color w:val="auto"/>
              </w:rPr>
            </w:pPr>
          </w:p>
        </w:tc>
      </w:tr>
      <w:tr>
        <w:trPr>
          <w:trHeight w:val="160"/>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offering, net (Note 14)</w:t>
            </w:r>
          </w:p>
        </w:tc>
        <w:tc>
          <w:tcPr>
            <w:tcW w:w="8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9,466</w:t>
            </w: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3"/>
                <w:szCs w:val="13"/>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207</w:t>
            </w:r>
          </w:p>
        </w:tc>
        <w:tc>
          <w:tcPr>
            <w:tcW w:w="11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0" w:type="dxa"/>
            <w:vAlign w:val="bottom"/>
          </w:tcPr>
          <w:p>
            <w:pPr>
              <w:spacing w:after="0"/>
              <w:rPr>
                <w:sz w:val="1"/>
                <w:szCs w:val="1"/>
                <w:color w:val="auto"/>
              </w:rPr>
            </w:pPr>
          </w:p>
        </w:tc>
      </w:tr>
      <w:tr>
        <w:trPr>
          <w:trHeight w:val="160"/>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Dividends reinvestment plan, net of expenses (Note 14)</w:t>
            </w:r>
          </w:p>
        </w:tc>
        <w:tc>
          <w:tcPr>
            <w:tcW w:w="84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761,074</w:t>
            </w:r>
          </w:p>
        </w:tc>
        <w:tc>
          <w:tcPr>
            <w:tcW w:w="380" w:type="dxa"/>
            <w:vAlign w:val="bottom"/>
          </w:tcPr>
          <w:p>
            <w:pPr>
              <w:spacing w:after="0"/>
              <w:rPr>
                <w:sz w:val="13"/>
                <w:szCs w:val="13"/>
                <w:color w:val="auto"/>
              </w:rPr>
            </w:pPr>
          </w:p>
        </w:tc>
        <w:tc>
          <w:tcPr>
            <w:tcW w:w="4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8</w:t>
            </w:r>
          </w:p>
        </w:tc>
        <w:tc>
          <w:tcPr>
            <w:tcW w:w="380" w:type="dxa"/>
            <w:vAlign w:val="bottom"/>
          </w:tcPr>
          <w:p>
            <w:pPr>
              <w:spacing w:after="0"/>
              <w:rPr>
                <w:sz w:val="13"/>
                <w:szCs w:val="13"/>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3"/>
                <w:szCs w:val="13"/>
                <w:color w:val="auto"/>
              </w:rPr>
            </w:pPr>
          </w:p>
        </w:tc>
        <w:tc>
          <w:tcPr>
            <w:tcW w:w="7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16,419</w:t>
            </w:r>
          </w:p>
        </w:tc>
        <w:tc>
          <w:tcPr>
            <w:tcW w:w="110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16,427</w:t>
            </w:r>
          </w:p>
        </w:tc>
        <w:tc>
          <w:tcPr>
            <w:tcW w:w="0" w:type="dxa"/>
            <w:vAlign w:val="bottom"/>
          </w:tcPr>
          <w:p>
            <w:pPr>
              <w:spacing w:after="0"/>
              <w:rPr>
                <w:sz w:val="1"/>
                <w:szCs w:val="1"/>
                <w:color w:val="auto"/>
              </w:rPr>
            </w:pPr>
          </w:p>
        </w:tc>
      </w:tr>
      <w:tr>
        <w:trPr>
          <w:trHeight w:val="160"/>
        </w:trPr>
        <w:tc>
          <w:tcPr>
            <w:tcW w:w="3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loss (Note 9)</w:t>
            </w:r>
          </w:p>
        </w:tc>
        <w:tc>
          <w:tcPr>
            <w:tcW w:w="84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(1,286)</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(1,286)</w:t>
            </w:r>
          </w:p>
        </w:tc>
        <w:tc>
          <w:tcPr>
            <w:tcW w:w="0" w:type="dxa"/>
            <w:vAlign w:val="bottom"/>
          </w:tcPr>
          <w:p>
            <w:pPr>
              <w:spacing w:after="0"/>
              <w:rPr>
                <w:sz w:val="1"/>
                <w:szCs w:val="1"/>
                <w:color w:val="auto"/>
              </w:rPr>
            </w:pPr>
          </w:p>
        </w:tc>
      </w:tr>
      <w:tr>
        <w:trPr>
          <w:trHeight w:val="150"/>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8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60,708,914</w:t>
            </w:r>
          </w:p>
        </w:tc>
        <w:tc>
          <w:tcPr>
            <w:tcW w:w="3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607</w:t>
            </w:r>
          </w:p>
        </w:tc>
        <w:tc>
          <w:tcPr>
            <w:tcW w:w="3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4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$ 1,263,065</w:t>
            </w:r>
          </w:p>
        </w:tc>
        <w:tc>
          <w:tcPr>
            <w:tcW w:w="11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$ 237,270</w:t>
            </w:r>
          </w:p>
        </w:tc>
        <w:tc>
          <w:tcPr>
            <w:tcW w:w="6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(1,575)</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$1,499,367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110" w:lineRule="exact"/>
        <w:rPr>
          <w:sz w:val="20"/>
          <w:szCs w:val="20"/>
          <w:color w:val="auto"/>
        </w:rPr>
      </w:pPr>
    </w:p>
    <w:p>
      <w:pPr>
        <w:jc w:val="right"/>
        <w:spacing w:after="0"/>
        <w:tabs>
          <w:tab w:leader="none" w:pos="920" w:val="left"/>
        </w:tabs>
        <w:rPr>
          <w:sz w:val="20"/>
          <w:szCs w:val="20"/>
          <w:color w:val="auto"/>
        </w:rPr>
      </w:pPr>
      <w:r>
        <w:rPr>
          <w:rFonts w:ascii="Times New Roman" w:cs="Times New Roman" w:eastAsia="Times New Roman" w:hAnsi="Times New Roman"/>
          <w:sz w:val="13"/>
          <w:szCs w:val="13"/>
          <w:color w:val="auto"/>
        </w:rPr>
        <w:t>F- 4</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6788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3"/>
          <w:szCs w:val="13"/>
          <w:b w:val="1"/>
          <w:bCs w:val="1"/>
          <w:color w:val="auto"/>
        </w:rPr>
        <w:t>Capital Clean Energy Carriers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United States Dollars)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8"/>
          </w:tcPr>
          <w:p>
            <w:pPr>
              <w:jc w:val="right"/>
              <w:ind w:right="813"/>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0" w:type="dxa"/>
            <w:vAlign w:val="bottom"/>
          </w:tcPr>
          <w:p>
            <w:pPr>
              <w:spacing w:after="0"/>
              <w:rPr>
                <w:sz w:val="1"/>
                <w:szCs w:val="1"/>
                <w:color w:val="auto"/>
              </w:rPr>
            </w:pPr>
          </w:p>
        </w:tc>
      </w:tr>
      <w:tr>
        <w:trPr>
          <w:trHeight w:val="150"/>
        </w:trPr>
        <w:tc>
          <w:tcPr>
            <w:tcW w:w="74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 of continuing operations: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income from operations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170,759</w:t>
            </w:r>
          </w:p>
        </w:tc>
        <w:tc>
          <w:tcPr>
            <w:tcW w:w="180" w:type="dxa"/>
            <w:vAlign w:val="bottom"/>
          </w:tcPr>
          <w:p>
            <w:pPr>
              <w:spacing w:after="0"/>
              <w:rPr>
                <w:sz w:val="13"/>
                <w:szCs w:val="13"/>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193,634</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47,208</w:t>
            </w:r>
          </w:p>
        </w:tc>
        <w:tc>
          <w:tcPr>
            <w:tcW w:w="0" w:type="dxa"/>
            <w:vAlign w:val="bottom"/>
          </w:tcPr>
          <w:p>
            <w:pPr>
              <w:spacing w:after="0"/>
              <w:rPr>
                <w:sz w:val="1"/>
                <w:szCs w:val="1"/>
                <w:color w:val="auto"/>
              </w:rPr>
            </w:pPr>
          </w:p>
        </w:tc>
      </w:tr>
      <w:tr>
        <w:trPr>
          <w:trHeight w:val="16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Less: Net income from discontinued operations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57,365</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138,444</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38,961</w:t>
            </w:r>
          </w:p>
        </w:tc>
        <w:tc>
          <w:tcPr>
            <w:tcW w:w="0" w:type="dxa"/>
            <w:vAlign w:val="bottom"/>
          </w:tcPr>
          <w:p>
            <w:pPr>
              <w:spacing w:after="0"/>
              <w:rPr>
                <w:sz w:val="1"/>
                <w:szCs w:val="1"/>
                <w:color w:val="auto"/>
              </w:rPr>
            </w:pPr>
          </w:p>
        </w:tc>
      </w:tr>
      <w:tr>
        <w:trPr>
          <w:trHeight w:val="160"/>
        </w:trPr>
        <w:tc>
          <w:tcPr>
            <w:tcW w:w="7480" w:type="dxa"/>
            <w:vAlign w:val="bottom"/>
          </w:tcPr>
          <w:p>
            <w:pPr>
              <w:spacing w:after="0"/>
              <w:rPr>
                <w:sz w:val="20"/>
                <w:szCs w:val="20"/>
                <w:color w:val="auto"/>
              </w:rPr>
            </w:pPr>
            <w:r>
              <w:rPr>
                <w:rFonts w:ascii="Times New Roman" w:cs="Times New Roman" w:eastAsia="Times New Roman" w:hAnsi="Times New Roman"/>
                <w:sz w:val="13"/>
                <w:szCs w:val="13"/>
                <w:color w:val="auto"/>
              </w:rPr>
              <w:t>Net income from continuing operations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113,394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55,190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8,247</w:t>
            </w:r>
          </w:p>
        </w:tc>
        <w:tc>
          <w:tcPr>
            <w:tcW w:w="0" w:type="dxa"/>
            <w:vAlign w:val="bottom"/>
          </w:tcPr>
          <w:p>
            <w:pPr>
              <w:spacing w:after="0"/>
              <w:rPr>
                <w:sz w:val="1"/>
                <w:szCs w:val="1"/>
                <w:color w:val="auto"/>
              </w:rPr>
            </w:pPr>
          </w:p>
        </w:tc>
      </w:tr>
      <w:tr>
        <w:trPr>
          <w:trHeight w:val="16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Adjustments to reconcile net income to net cash provided by operating activities: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480" w:type="dxa"/>
            <w:vAlign w:val="bottom"/>
          </w:tcPr>
          <w:p>
            <w:pPr>
              <w:spacing w:after="0"/>
              <w:rPr>
                <w:sz w:val="20"/>
                <w:szCs w:val="20"/>
                <w:color w:val="auto"/>
              </w:rPr>
            </w:pPr>
            <w:r>
              <w:rPr>
                <w:rFonts w:ascii="Times New Roman" w:cs="Times New Roman" w:eastAsia="Times New Roman" w:hAnsi="Times New Roman"/>
                <w:sz w:val="13"/>
                <w:szCs w:val="13"/>
                <w:color w:val="auto"/>
              </w:rPr>
              <w:t>Vessel depreciation and amortization (Note 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87,213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76,454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47,559</w:t>
            </w:r>
          </w:p>
        </w:tc>
        <w:tc>
          <w:tcPr>
            <w:tcW w:w="0" w:type="dxa"/>
            <w:vAlign w:val="bottom"/>
          </w:tcPr>
          <w:p>
            <w:pPr>
              <w:spacing w:after="0"/>
              <w:rPr>
                <w:sz w:val="1"/>
                <w:szCs w:val="1"/>
                <w:color w:val="auto"/>
              </w:rPr>
            </w:pPr>
          </w:p>
        </w:tc>
      </w:tr>
      <w:tr>
        <w:trPr>
          <w:trHeight w:val="16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Impairment of vessels (Note 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11,157</w:t>
            </w:r>
          </w:p>
        </w:tc>
        <w:tc>
          <w:tcPr>
            <w:tcW w:w="0" w:type="dxa"/>
            <w:vAlign w:val="bottom"/>
          </w:tcPr>
          <w:p>
            <w:pPr>
              <w:spacing w:after="0"/>
              <w:rPr>
                <w:sz w:val="1"/>
                <w:szCs w:val="1"/>
                <w:color w:val="auto"/>
              </w:rPr>
            </w:pPr>
          </w:p>
        </w:tc>
      </w:tr>
      <w:tr>
        <w:trPr>
          <w:trHeight w:val="160"/>
        </w:trPr>
        <w:tc>
          <w:tcPr>
            <w:tcW w:w="748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and write-off of deferred financing costs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3,028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1,742</w:t>
            </w:r>
          </w:p>
        </w:tc>
        <w:tc>
          <w:tcPr>
            <w:tcW w:w="0" w:type="dxa"/>
            <w:vAlign w:val="bottom"/>
          </w:tcPr>
          <w:p>
            <w:pPr>
              <w:spacing w:after="0"/>
              <w:rPr>
                <w:sz w:val="1"/>
                <w:szCs w:val="1"/>
                <w:color w:val="auto"/>
              </w:rPr>
            </w:pPr>
          </w:p>
        </w:tc>
      </w:tr>
      <w:tr>
        <w:trPr>
          <w:trHeight w:val="16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 accretion of above / below market acquired charters (Note 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22,585</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17,052</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(4,014)</w:t>
            </w:r>
          </w:p>
        </w:tc>
        <w:tc>
          <w:tcPr>
            <w:tcW w:w="0" w:type="dxa"/>
            <w:vAlign w:val="bottom"/>
          </w:tcPr>
          <w:p>
            <w:pPr>
              <w:spacing w:after="0"/>
              <w:rPr>
                <w:sz w:val="1"/>
                <w:szCs w:val="1"/>
                <w:color w:val="auto"/>
              </w:rPr>
            </w:pPr>
          </w:p>
        </w:tc>
      </w:tr>
      <w:tr>
        <w:trPr>
          <w:trHeight w:val="160"/>
        </w:trPr>
        <w:tc>
          <w:tcPr>
            <w:tcW w:w="748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ineffective portion of derivatives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(209)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0" w:type="dxa"/>
            <w:vAlign w:val="bottom"/>
          </w:tcPr>
          <w:p>
            <w:pPr>
              <w:spacing w:after="0"/>
              <w:rPr>
                <w:sz w:val="1"/>
                <w:szCs w:val="1"/>
                <w:color w:val="auto"/>
              </w:rPr>
            </w:pPr>
          </w:p>
        </w:tc>
      </w:tr>
      <w:tr>
        <w:trPr>
          <w:trHeight w:val="16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compensation expense (Note 15)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6,395</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6,918</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3,786</w:t>
            </w:r>
          </w:p>
        </w:tc>
        <w:tc>
          <w:tcPr>
            <w:tcW w:w="0" w:type="dxa"/>
            <w:vAlign w:val="bottom"/>
          </w:tcPr>
          <w:p>
            <w:pPr>
              <w:spacing w:after="0"/>
              <w:rPr>
                <w:sz w:val="1"/>
                <w:szCs w:val="1"/>
                <w:color w:val="auto"/>
              </w:rPr>
            </w:pPr>
          </w:p>
        </w:tc>
      </w:tr>
      <w:tr>
        <w:trPr>
          <w:trHeight w:val="160"/>
        </w:trPr>
        <w:tc>
          <w:tcPr>
            <w:tcW w:w="7480" w:type="dxa"/>
            <w:vAlign w:val="bottom"/>
          </w:tcPr>
          <w:p>
            <w:pPr>
              <w:spacing w:after="0"/>
              <w:rPr>
                <w:sz w:val="20"/>
                <w:szCs w:val="20"/>
                <w:color w:val="auto"/>
              </w:rPr>
            </w:pPr>
            <w:r>
              <w:rPr>
                <w:rFonts w:ascii="Times New Roman" w:cs="Times New Roman" w:eastAsia="Times New Roman" w:hAnsi="Times New Roman"/>
                <w:sz w:val="13"/>
                <w:szCs w:val="13"/>
                <w:color w:val="auto"/>
              </w:rPr>
              <w:t>Change in fair value of derivatives (Note 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(18,114)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10,934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(5,529)</w:t>
            </w:r>
          </w:p>
        </w:tc>
        <w:tc>
          <w:tcPr>
            <w:tcW w:w="0" w:type="dxa"/>
            <w:vAlign w:val="bottom"/>
          </w:tcPr>
          <w:p>
            <w:pPr>
              <w:spacing w:after="0"/>
              <w:rPr>
                <w:sz w:val="1"/>
                <w:szCs w:val="1"/>
                <w:color w:val="auto"/>
              </w:rPr>
            </w:pPr>
          </w:p>
        </w:tc>
      </w:tr>
      <w:tr>
        <w:trPr>
          <w:trHeight w:val="16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Unrealized bonds exchange differences (Note 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19,775</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(9,848)</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6,018</w:t>
            </w:r>
          </w:p>
        </w:tc>
        <w:tc>
          <w:tcPr>
            <w:tcW w:w="0" w:type="dxa"/>
            <w:vAlign w:val="bottom"/>
          </w:tcPr>
          <w:p>
            <w:pPr>
              <w:spacing w:after="0"/>
              <w:rPr>
                <w:sz w:val="1"/>
                <w:szCs w:val="1"/>
                <w:color w:val="auto"/>
              </w:rPr>
            </w:pPr>
          </w:p>
        </w:tc>
      </w:tr>
      <w:tr>
        <w:trPr>
          <w:trHeight w:val="160"/>
        </w:trPr>
        <w:tc>
          <w:tcPr>
            <w:tcW w:w="7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Changes in operating assets and liabilities: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Trade accounts receivable</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(4,748)</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(1,799)</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0" w:type="dxa"/>
            <w:vAlign w:val="bottom"/>
          </w:tcPr>
          <w:p>
            <w:pPr>
              <w:spacing w:after="0"/>
              <w:rPr>
                <w:sz w:val="1"/>
                <w:szCs w:val="1"/>
                <w:color w:val="auto"/>
              </w:rPr>
            </w:pPr>
          </w:p>
        </w:tc>
      </w:tr>
      <w:tr>
        <w:trPr>
          <w:trHeight w:val="160"/>
        </w:trPr>
        <w:tc>
          <w:tcPr>
            <w:tcW w:w="7480" w:type="dxa"/>
            <w:vAlign w:val="bottom"/>
          </w:tcPr>
          <w:p>
            <w:pPr>
              <w:spacing w:after="0"/>
              <w:rPr>
                <w:sz w:val="20"/>
                <w:szCs w:val="20"/>
                <w:color w:val="auto"/>
              </w:rPr>
            </w:pPr>
            <w:r>
              <w:rPr>
                <w:rFonts w:ascii="Times New Roman" w:cs="Times New Roman" w:eastAsia="Times New Roman" w:hAnsi="Times New Roman"/>
                <w:sz w:val="13"/>
                <w:szCs w:val="13"/>
                <w:color w:val="auto"/>
              </w:rPr>
              <w:t>Prepayments and other assets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525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1,002</w:t>
            </w:r>
          </w:p>
        </w:tc>
        <w:tc>
          <w:tcPr>
            <w:tcW w:w="0" w:type="dxa"/>
            <w:vAlign w:val="bottom"/>
          </w:tcPr>
          <w:p>
            <w:pPr>
              <w:spacing w:after="0"/>
              <w:rPr>
                <w:sz w:val="1"/>
                <w:szCs w:val="1"/>
                <w:color w:val="auto"/>
              </w:rPr>
            </w:pPr>
          </w:p>
        </w:tc>
      </w:tr>
      <w:tr>
        <w:trPr>
          <w:trHeight w:val="16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Due from related party</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1,131</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716</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(1,847)</w:t>
            </w:r>
          </w:p>
        </w:tc>
        <w:tc>
          <w:tcPr>
            <w:tcW w:w="0" w:type="dxa"/>
            <w:vAlign w:val="bottom"/>
          </w:tcPr>
          <w:p>
            <w:pPr>
              <w:spacing w:after="0"/>
              <w:rPr>
                <w:sz w:val="1"/>
                <w:szCs w:val="1"/>
                <w:color w:val="auto"/>
              </w:rPr>
            </w:pPr>
          </w:p>
        </w:tc>
      </w:tr>
      <w:tr>
        <w:trPr>
          <w:trHeight w:val="160"/>
        </w:trPr>
        <w:tc>
          <w:tcPr>
            <w:tcW w:w="7480" w:type="dxa"/>
            <w:vAlign w:val="bottom"/>
          </w:tcPr>
          <w:p>
            <w:pPr>
              <w:spacing w:after="0"/>
              <w:rPr>
                <w:sz w:val="20"/>
                <w:szCs w:val="20"/>
                <w:color w:val="auto"/>
              </w:rPr>
            </w:pPr>
            <w:r>
              <w:rPr>
                <w:rFonts w:ascii="Times New Roman" w:cs="Times New Roman" w:eastAsia="Times New Roman" w:hAnsi="Times New Roman"/>
                <w:sz w:val="13"/>
                <w:szCs w:val="13"/>
                <w:color w:val="auto"/>
              </w:rPr>
              <w:t>Inventories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(1,904)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1,730</w:t>
            </w:r>
          </w:p>
        </w:tc>
        <w:tc>
          <w:tcPr>
            <w:tcW w:w="0" w:type="dxa"/>
            <w:vAlign w:val="bottom"/>
          </w:tcPr>
          <w:p>
            <w:pPr>
              <w:spacing w:after="0"/>
              <w:rPr>
                <w:sz w:val="1"/>
                <w:szCs w:val="1"/>
                <w:color w:val="auto"/>
              </w:rPr>
            </w:pPr>
          </w:p>
        </w:tc>
      </w:tr>
      <w:tr>
        <w:trPr>
          <w:trHeight w:val="16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Claims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7480" w:type="dxa"/>
            <w:vAlign w:val="bottom"/>
          </w:tcPr>
          <w:p>
            <w:pPr>
              <w:spacing w:after="0"/>
              <w:rPr>
                <w:sz w:val="20"/>
                <w:szCs w:val="20"/>
                <w:color w:val="auto"/>
              </w:rPr>
            </w:pPr>
            <w:r>
              <w:rPr>
                <w:rFonts w:ascii="Times New Roman" w:cs="Times New Roman" w:eastAsia="Times New Roman" w:hAnsi="Times New Roman"/>
                <w:sz w:val="13"/>
                <w:szCs w:val="13"/>
                <w:color w:val="auto"/>
              </w:rPr>
              <w:t>Trade accounts payable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5,634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2,776</w:t>
            </w:r>
          </w:p>
        </w:tc>
        <w:tc>
          <w:tcPr>
            <w:tcW w:w="0" w:type="dxa"/>
            <w:vAlign w:val="bottom"/>
          </w:tcPr>
          <w:p>
            <w:pPr>
              <w:spacing w:after="0"/>
              <w:rPr>
                <w:sz w:val="1"/>
                <w:szCs w:val="1"/>
                <w:color w:val="auto"/>
              </w:rPr>
            </w:pPr>
          </w:p>
        </w:tc>
      </w:tr>
      <w:tr>
        <w:trPr>
          <w:trHeight w:val="16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Due to related parties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2,065</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1,386</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1,140</w:t>
            </w:r>
          </w:p>
        </w:tc>
        <w:tc>
          <w:tcPr>
            <w:tcW w:w="0" w:type="dxa"/>
            <w:vAlign w:val="bottom"/>
          </w:tcPr>
          <w:p>
            <w:pPr>
              <w:spacing w:after="0"/>
              <w:rPr>
                <w:sz w:val="1"/>
                <w:szCs w:val="1"/>
                <w:color w:val="auto"/>
              </w:rPr>
            </w:pPr>
          </w:p>
        </w:tc>
      </w:tr>
      <w:tr>
        <w:trPr>
          <w:trHeight w:val="160"/>
        </w:trPr>
        <w:tc>
          <w:tcPr>
            <w:tcW w:w="7480" w:type="dxa"/>
            <w:vAlign w:val="bottom"/>
          </w:tcPr>
          <w:p>
            <w:pPr>
              <w:spacing w:after="0"/>
              <w:rPr>
                <w:sz w:val="20"/>
                <w:szCs w:val="20"/>
                <w:color w:val="auto"/>
              </w:rPr>
            </w:pPr>
            <w:r>
              <w:rPr>
                <w:rFonts w:ascii="Times New Roman" w:cs="Times New Roman" w:eastAsia="Times New Roman" w:hAnsi="Times New Roman"/>
                <w:sz w:val="13"/>
                <w:szCs w:val="13"/>
                <w:color w:val="auto"/>
              </w:rPr>
              <w:t>Accrued liabilities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13,403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3,593</w:t>
            </w:r>
          </w:p>
        </w:tc>
        <w:tc>
          <w:tcPr>
            <w:tcW w:w="0" w:type="dxa"/>
            <w:vAlign w:val="bottom"/>
          </w:tcPr>
          <w:p>
            <w:pPr>
              <w:spacing w:after="0"/>
              <w:rPr>
                <w:sz w:val="1"/>
                <w:szCs w:val="1"/>
                <w:color w:val="auto"/>
              </w:rPr>
            </w:pPr>
          </w:p>
        </w:tc>
      </w:tr>
      <w:tr>
        <w:trPr>
          <w:trHeight w:val="16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revenue</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7,337</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8,499</w:t>
            </w:r>
          </w:p>
        </w:tc>
        <w:tc>
          <w:tcPr>
            <w:tcW w:w="0" w:type="dxa"/>
            <w:vAlign w:val="bottom"/>
          </w:tcPr>
          <w:p>
            <w:pPr>
              <w:spacing w:after="0"/>
              <w:rPr>
                <w:sz w:val="1"/>
                <w:szCs w:val="1"/>
                <w:color w:val="auto"/>
              </w:rPr>
            </w:pPr>
          </w:p>
        </w:tc>
      </w:tr>
      <w:tr>
        <w:trPr>
          <w:trHeight w:val="160"/>
        </w:trPr>
        <w:tc>
          <w:tcPr>
            <w:tcW w:w="7480" w:type="dxa"/>
            <w:vAlign w:val="bottom"/>
          </w:tcPr>
          <w:p>
            <w:pPr>
              <w:spacing w:after="0"/>
              <w:rPr>
                <w:sz w:val="20"/>
                <w:szCs w:val="20"/>
                <w:color w:val="auto"/>
              </w:rPr>
            </w:pPr>
            <w:r>
              <w:rPr>
                <w:rFonts w:ascii="Times New Roman" w:cs="Times New Roman" w:eastAsia="Times New Roman" w:hAnsi="Times New Roman"/>
                <w:sz w:val="13"/>
                <w:szCs w:val="13"/>
                <w:color w:val="auto"/>
              </w:rPr>
              <w:t>Dry-docking costs paid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50"/>
        </w:trPr>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 of continuing operations</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232,817</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184,817</w:t>
            </w: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85,770</w:t>
            </w:r>
          </w:p>
        </w:tc>
        <w:tc>
          <w:tcPr>
            <w:tcW w:w="0" w:type="dxa"/>
            <w:vAlign w:val="bottom"/>
          </w:tcPr>
          <w:p>
            <w:pPr>
              <w:spacing w:after="0"/>
              <w:rPr>
                <w:sz w:val="1"/>
                <w:szCs w:val="1"/>
                <w:color w:val="auto"/>
              </w:rPr>
            </w:pPr>
          </w:p>
        </w:tc>
      </w:tr>
      <w:tr>
        <w:trPr>
          <w:trHeight w:val="150"/>
        </w:trPr>
        <w:tc>
          <w:tcPr>
            <w:tcW w:w="7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 of continuing operations:</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Vessel acquisitions, vessels under construction and improvements including acquired time and bareboat charter agreements (Notes 6, 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(315,121)</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(1,200,978)</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(336,335)</w:t>
            </w:r>
          </w:p>
        </w:tc>
        <w:tc>
          <w:tcPr>
            <w:tcW w:w="0" w:type="dxa"/>
            <w:vAlign w:val="bottom"/>
          </w:tcPr>
          <w:p>
            <w:pPr>
              <w:spacing w:after="0"/>
              <w:rPr>
                <w:sz w:val="1"/>
                <w:szCs w:val="1"/>
                <w:color w:val="auto"/>
              </w:rPr>
            </w:pPr>
          </w:p>
        </w:tc>
      </w:tr>
      <w:tr>
        <w:trPr>
          <w:trHeight w:val="160"/>
        </w:trPr>
        <w:tc>
          <w:tcPr>
            <w:tcW w:w="748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insurance claims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(Expenses paid for the sale of vessels) / proceeds from sale of vessels, net (Note 6)</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(219)</w:t>
            </w: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21,780</w:t>
            </w:r>
          </w:p>
        </w:tc>
        <w:tc>
          <w:tcPr>
            <w:tcW w:w="0" w:type="dxa"/>
            <w:vAlign w:val="bottom"/>
          </w:tcPr>
          <w:p>
            <w:pPr>
              <w:spacing w:after="0"/>
              <w:rPr>
                <w:sz w:val="1"/>
                <w:szCs w:val="1"/>
                <w:color w:val="auto"/>
              </w:rPr>
            </w:pPr>
          </w:p>
        </w:tc>
      </w:tr>
      <w:tr>
        <w:trPr>
          <w:trHeight w:val="150"/>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 of continuing operations</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(314,768)</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(1,201,197)</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(314,555)</w:t>
            </w:r>
          </w:p>
        </w:tc>
        <w:tc>
          <w:tcPr>
            <w:tcW w:w="0" w:type="dxa"/>
            <w:vAlign w:val="bottom"/>
          </w:tcPr>
          <w:p>
            <w:pPr>
              <w:spacing w:after="0"/>
              <w:rPr>
                <w:sz w:val="1"/>
                <w:szCs w:val="1"/>
                <w:color w:val="auto"/>
              </w:rPr>
            </w:pPr>
          </w:p>
        </w:tc>
      </w:tr>
      <w:tr>
        <w:trPr>
          <w:trHeight w:val="15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 of continuing operations: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48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long-term debt (Note 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44,454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1,582,000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292,000</w:t>
            </w:r>
          </w:p>
        </w:tc>
        <w:tc>
          <w:tcPr>
            <w:tcW w:w="0" w:type="dxa"/>
            <w:vAlign w:val="bottom"/>
          </w:tcPr>
          <w:p>
            <w:pPr>
              <w:spacing w:after="0"/>
              <w:rPr>
                <w:sz w:val="1"/>
                <w:szCs w:val="1"/>
                <w:color w:val="auto"/>
              </w:rPr>
            </w:pPr>
          </w:p>
        </w:tc>
      </w:tr>
      <w:tr>
        <w:trPr>
          <w:trHeight w:val="16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financing and offering costs paid</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(1,462)</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(12,911)</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(2,488)</w:t>
            </w:r>
          </w:p>
        </w:tc>
        <w:tc>
          <w:tcPr>
            <w:tcW w:w="0" w:type="dxa"/>
            <w:vAlign w:val="bottom"/>
          </w:tcPr>
          <w:p>
            <w:pPr>
              <w:spacing w:after="0"/>
              <w:rPr>
                <w:sz w:val="1"/>
                <w:szCs w:val="1"/>
                <w:color w:val="auto"/>
              </w:rPr>
            </w:pPr>
          </w:p>
        </w:tc>
      </w:tr>
      <w:tr>
        <w:trPr>
          <w:trHeight w:val="160"/>
        </w:trPr>
        <w:tc>
          <w:tcPr>
            <w:tcW w:w="7480" w:type="dxa"/>
            <w:vAlign w:val="bottom"/>
          </w:tcPr>
          <w:p>
            <w:pPr>
              <w:spacing w:after="0"/>
              <w:rPr>
                <w:sz w:val="20"/>
                <w:szCs w:val="20"/>
                <w:color w:val="auto"/>
              </w:rPr>
            </w:pPr>
            <w:r>
              <w:rPr>
                <w:rFonts w:ascii="Times New Roman" w:cs="Times New Roman" w:eastAsia="Times New Roman" w:hAnsi="Times New Roman"/>
                <w:sz w:val="13"/>
                <w:szCs w:val="13"/>
                <w:color w:val="auto"/>
              </w:rPr>
              <w:t>Payments of long-term debt (Note 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(120,868)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(780,910)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(67,029)</w:t>
            </w:r>
          </w:p>
        </w:tc>
        <w:tc>
          <w:tcPr>
            <w:tcW w:w="0" w:type="dxa"/>
            <w:vAlign w:val="bottom"/>
          </w:tcPr>
          <w:p>
            <w:pPr>
              <w:spacing w:after="0"/>
              <w:rPr>
                <w:sz w:val="1"/>
                <w:szCs w:val="1"/>
                <w:color w:val="auto"/>
              </w:rPr>
            </w:pPr>
          </w:p>
        </w:tc>
      </w:tr>
      <w:tr>
        <w:trPr>
          <w:trHeight w:val="16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offering, net of commissions paid (Notes 1, 14)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45,817</w:t>
            </w:r>
          </w:p>
        </w:tc>
        <w:tc>
          <w:tcPr>
            <w:tcW w:w="0" w:type="dxa"/>
            <w:vAlign w:val="bottom"/>
          </w:tcPr>
          <w:p>
            <w:pPr>
              <w:spacing w:after="0"/>
              <w:rPr>
                <w:sz w:val="1"/>
                <w:szCs w:val="1"/>
                <w:color w:val="auto"/>
              </w:rPr>
            </w:pPr>
          </w:p>
        </w:tc>
      </w:tr>
      <w:tr>
        <w:trPr>
          <w:trHeight w:val="160"/>
        </w:trPr>
        <w:tc>
          <w:tcPr>
            <w:tcW w:w="7480" w:type="dxa"/>
            <w:vAlign w:val="bottom"/>
          </w:tcPr>
          <w:p>
            <w:pPr>
              <w:spacing w:after="0"/>
              <w:rPr>
                <w:sz w:val="20"/>
                <w:szCs w:val="20"/>
                <w:color w:val="auto"/>
              </w:rPr>
            </w:pPr>
            <w:r>
              <w:rPr>
                <w:rFonts w:ascii="Times New Roman" w:cs="Times New Roman" w:eastAsia="Times New Roman" w:hAnsi="Times New Roman"/>
                <w:sz w:val="13"/>
                <w:szCs w:val="13"/>
                <w:color w:val="auto"/>
              </w:rPr>
              <w:t>Rights offering costs paid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(476)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(824)</w:t>
            </w:r>
          </w:p>
        </w:tc>
        <w:tc>
          <w:tcPr>
            <w:tcW w:w="0" w:type="dxa"/>
            <w:vAlign w:val="bottom"/>
          </w:tcPr>
          <w:p>
            <w:pPr>
              <w:spacing w:after="0"/>
              <w:rPr>
                <w:sz w:val="1"/>
                <w:szCs w:val="1"/>
                <w:color w:val="auto"/>
              </w:rPr>
            </w:pPr>
          </w:p>
        </w:tc>
      </w:tr>
      <w:tr>
        <w:trPr>
          <w:trHeight w:val="16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Repurchase of common units (Note 14)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(4,112)</w:t>
            </w:r>
          </w:p>
        </w:tc>
        <w:tc>
          <w:tcPr>
            <w:tcW w:w="0" w:type="dxa"/>
            <w:vAlign w:val="bottom"/>
          </w:tcPr>
          <w:p>
            <w:pPr>
              <w:spacing w:after="0"/>
              <w:rPr>
                <w:sz w:val="1"/>
                <w:szCs w:val="1"/>
                <w:color w:val="auto"/>
              </w:rPr>
            </w:pPr>
          </w:p>
        </w:tc>
      </w:tr>
      <w:tr>
        <w:trPr>
          <w:trHeight w:val="160"/>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Dividends paid (Note 14)</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(18,997)</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(33,813)</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(12,242)</w:t>
            </w:r>
          </w:p>
        </w:tc>
        <w:tc>
          <w:tcPr>
            <w:tcW w:w="0" w:type="dxa"/>
            <w:vAlign w:val="bottom"/>
          </w:tcPr>
          <w:p>
            <w:pPr>
              <w:spacing w:after="0"/>
              <w:rPr>
                <w:sz w:val="1"/>
                <w:szCs w:val="1"/>
                <w:color w:val="auto"/>
              </w:rPr>
            </w:pPr>
          </w:p>
        </w:tc>
      </w:tr>
      <w:tr>
        <w:trPr>
          <w:trHeight w:val="15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cash (used in) / provided by financing activities of continuing operations</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(97,164)</w:t>
            </w:r>
          </w:p>
        </w:tc>
        <w:tc>
          <w:tcPr>
            <w:tcW w:w="1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753,890</w:t>
            </w: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251,122</w:t>
            </w:r>
          </w:p>
        </w:tc>
        <w:tc>
          <w:tcPr>
            <w:tcW w:w="0" w:type="dxa"/>
            <w:vAlign w:val="bottom"/>
          </w:tcPr>
          <w:p>
            <w:pPr>
              <w:spacing w:after="0"/>
              <w:rPr>
                <w:sz w:val="1"/>
                <w:szCs w:val="1"/>
                <w:color w:val="auto"/>
              </w:rPr>
            </w:pPr>
          </w:p>
        </w:tc>
      </w:tr>
      <w:tr>
        <w:trPr>
          <w:trHeight w:val="150"/>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Net (decrease) / increase in cash, cash equivalents and restricted cash from continuing operations</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(179,115)</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(262,490)</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22,337</w:t>
            </w:r>
          </w:p>
        </w:tc>
        <w:tc>
          <w:tcPr>
            <w:tcW w:w="0" w:type="dxa"/>
            <w:vAlign w:val="bottom"/>
          </w:tcPr>
          <w:p>
            <w:pPr>
              <w:spacing w:after="0"/>
              <w:rPr>
                <w:sz w:val="1"/>
                <w:szCs w:val="1"/>
                <w:color w:val="auto"/>
              </w:rPr>
            </w:pPr>
          </w:p>
        </w:tc>
      </w:tr>
      <w:tr>
        <w:trPr>
          <w:trHeight w:val="15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discontinued operations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480" w:type="dxa"/>
            <w:vAlign w:val="bottom"/>
          </w:tcPr>
          <w:p>
            <w:pPr>
              <w:spacing w:after="0"/>
              <w:rPr>
                <w:sz w:val="20"/>
                <w:szCs w:val="20"/>
                <w:color w:val="auto"/>
              </w:rPr>
            </w:pPr>
            <w:r>
              <w:rPr>
                <w:rFonts w:ascii="Times New Roman" w:cs="Times New Roman" w:eastAsia="Times New Roman" w:hAnsi="Times New Roman"/>
                <w:sz w:val="13"/>
                <w:szCs w:val="13"/>
                <w:color w:val="auto"/>
              </w:rPr>
              <w:t>Operating activities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9,245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55,030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102,942</w:t>
            </w:r>
          </w:p>
        </w:tc>
        <w:tc>
          <w:tcPr>
            <w:tcW w:w="0" w:type="dxa"/>
            <w:vAlign w:val="bottom"/>
          </w:tcPr>
          <w:p>
            <w:pPr>
              <w:spacing w:after="0"/>
              <w:rPr>
                <w:sz w:val="1"/>
                <w:szCs w:val="1"/>
                <w:color w:val="auto"/>
              </w:rPr>
            </w:pPr>
          </w:p>
        </w:tc>
      </w:tr>
      <w:tr>
        <w:trPr>
          <w:trHeight w:val="16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Investing activities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230,195</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448,059</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(132,537)</w:t>
            </w:r>
          </w:p>
        </w:tc>
        <w:tc>
          <w:tcPr>
            <w:tcW w:w="0" w:type="dxa"/>
            <w:vAlign w:val="bottom"/>
          </w:tcPr>
          <w:p>
            <w:pPr>
              <w:spacing w:after="0"/>
              <w:rPr>
                <w:sz w:val="1"/>
                <w:szCs w:val="1"/>
                <w:color w:val="auto"/>
              </w:rPr>
            </w:pPr>
          </w:p>
        </w:tc>
      </w:tr>
      <w:tr>
        <w:trPr>
          <w:trHeight w:val="160"/>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Financing activities</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(100,610)</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(108,902)</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55,888</w:t>
            </w:r>
          </w:p>
        </w:tc>
        <w:tc>
          <w:tcPr>
            <w:tcW w:w="0" w:type="dxa"/>
            <w:vAlign w:val="bottom"/>
          </w:tcPr>
          <w:p>
            <w:pPr>
              <w:spacing w:after="0"/>
              <w:rPr>
                <w:sz w:val="1"/>
                <w:szCs w:val="1"/>
                <w:color w:val="auto"/>
              </w:rPr>
            </w:pPr>
          </w:p>
        </w:tc>
      </w:tr>
      <w:tr>
        <w:trPr>
          <w:trHeight w:val="15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increase in cash, cash equivalents and restricted cash from discontinued operations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138,830</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394,187</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26,293</w:t>
            </w:r>
          </w:p>
        </w:tc>
        <w:tc>
          <w:tcPr>
            <w:tcW w:w="0" w:type="dxa"/>
            <w:vAlign w:val="bottom"/>
          </w:tcPr>
          <w:p>
            <w:pPr>
              <w:spacing w:after="0"/>
              <w:rPr>
                <w:sz w:val="1"/>
                <w:szCs w:val="1"/>
                <w:color w:val="auto"/>
              </w:rPr>
            </w:pPr>
          </w:p>
        </w:tc>
      </w:tr>
      <w:tr>
        <w:trPr>
          <w:trHeight w:val="150"/>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Net (decrease) / increase in cash, cash equivalents and restricted cash</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(40,285)</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131,697</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48,630</w:t>
            </w:r>
          </w:p>
        </w:tc>
        <w:tc>
          <w:tcPr>
            <w:tcW w:w="0" w:type="dxa"/>
            <w:vAlign w:val="bottom"/>
          </w:tcPr>
          <w:p>
            <w:pPr>
              <w:spacing w:after="0"/>
              <w:rPr>
                <w:sz w:val="1"/>
                <w:szCs w:val="1"/>
                <w:color w:val="auto"/>
              </w:rPr>
            </w:pPr>
          </w:p>
        </w:tc>
      </w:tr>
      <w:tr>
        <w:trPr>
          <w:trHeight w:val="15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the beginning of the year</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335,175</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203,478</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154,848</w:t>
            </w:r>
          </w:p>
        </w:tc>
        <w:tc>
          <w:tcPr>
            <w:tcW w:w="0" w:type="dxa"/>
            <w:vAlign w:val="bottom"/>
          </w:tcPr>
          <w:p>
            <w:pPr>
              <w:spacing w:after="0"/>
              <w:rPr>
                <w:sz w:val="1"/>
                <w:szCs w:val="1"/>
                <w:color w:val="auto"/>
              </w:rPr>
            </w:pPr>
          </w:p>
        </w:tc>
      </w:tr>
      <w:tr>
        <w:trPr>
          <w:trHeight w:val="150"/>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the end of the year</w:t>
            </w: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294,890</w:t>
            </w:r>
          </w:p>
        </w:tc>
        <w:tc>
          <w:tcPr>
            <w:tcW w:w="1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335,175</w:t>
            </w:r>
          </w:p>
        </w:tc>
        <w:tc>
          <w:tcPr>
            <w:tcW w:w="1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203,478</w:t>
            </w:r>
          </w:p>
        </w:tc>
        <w:tc>
          <w:tcPr>
            <w:tcW w:w="0" w:type="dxa"/>
            <w:vAlign w:val="bottom"/>
          </w:tcPr>
          <w:p>
            <w:pPr>
              <w:spacing w:after="0"/>
              <w:rPr>
                <w:sz w:val="1"/>
                <w:szCs w:val="1"/>
                <w:color w:val="auto"/>
              </w:rPr>
            </w:pPr>
          </w:p>
        </w:tc>
      </w:tr>
      <w:tr>
        <w:trPr>
          <w:trHeight w:val="15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cash flow information</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480" w:type="dxa"/>
            <w:vAlign w:val="bottom"/>
          </w:tcPr>
          <w:p>
            <w:pPr>
              <w:spacing w:after="0"/>
              <w:rPr>
                <w:sz w:val="20"/>
                <w:szCs w:val="20"/>
                <w:color w:val="auto"/>
              </w:rPr>
            </w:pPr>
            <w:r>
              <w:rPr>
                <w:rFonts w:ascii="Times New Roman" w:cs="Times New Roman" w:eastAsia="Times New Roman" w:hAnsi="Times New Roman"/>
                <w:sz w:val="13"/>
                <w:szCs w:val="13"/>
                <w:color w:val="auto"/>
              </w:rPr>
              <w:t>Cash paid for interest net of interest capitalized during the construction period (Note 2(m))</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107,022</w:t>
            </w:r>
          </w:p>
        </w:tc>
        <w:tc>
          <w:tcPr>
            <w:tcW w:w="180" w:type="dxa"/>
            <w:vAlign w:val="bottom"/>
          </w:tcPr>
          <w:p>
            <w:pPr>
              <w:spacing w:after="0"/>
              <w:rPr>
                <w:sz w:val="13"/>
                <w:szCs w:val="13"/>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131,870</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98,606</w:t>
            </w:r>
          </w:p>
        </w:tc>
        <w:tc>
          <w:tcPr>
            <w:tcW w:w="0" w:type="dxa"/>
            <w:vAlign w:val="bottom"/>
          </w:tcPr>
          <w:p>
            <w:pPr>
              <w:spacing w:after="0"/>
              <w:rPr>
                <w:sz w:val="1"/>
                <w:szCs w:val="1"/>
                <w:color w:val="auto"/>
              </w:rPr>
            </w:pPr>
          </w:p>
        </w:tc>
      </w:tr>
      <w:tr>
        <w:trPr>
          <w:trHeight w:val="16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480" w:type="dxa"/>
            <w:vAlign w:val="bottom"/>
          </w:tcPr>
          <w:p>
            <w:pPr>
              <w:spacing w:after="0"/>
              <w:rPr>
                <w:sz w:val="20"/>
                <w:szCs w:val="20"/>
                <w:color w:val="auto"/>
              </w:rPr>
            </w:pPr>
            <w:r>
              <w:rPr>
                <w:rFonts w:ascii="Times New Roman" w:cs="Times New Roman" w:eastAsia="Times New Roman" w:hAnsi="Times New Roman"/>
                <w:sz w:val="13"/>
                <w:szCs w:val="13"/>
                <w:color w:val="auto"/>
              </w:rPr>
              <w:t>Capital expenditures included in liabilities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4,140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6,684</w:t>
            </w:r>
          </w:p>
        </w:tc>
        <w:tc>
          <w:tcPr>
            <w:tcW w:w="0" w:type="dxa"/>
            <w:vAlign w:val="bottom"/>
          </w:tcPr>
          <w:p>
            <w:pPr>
              <w:spacing w:after="0"/>
              <w:rPr>
                <w:sz w:val="1"/>
                <w:szCs w:val="1"/>
                <w:color w:val="auto"/>
              </w:rPr>
            </w:pPr>
          </w:p>
        </w:tc>
      </w:tr>
      <w:tr>
        <w:trPr>
          <w:trHeight w:val="16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Capitalized dry-docking costs included in liabilities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4,021</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4,149</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4,149</w:t>
            </w:r>
          </w:p>
        </w:tc>
        <w:tc>
          <w:tcPr>
            <w:tcW w:w="0" w:type="dxa"/>
            <w:vAlign w:val="bottom"/>
          </w:tcPr>
          <w:p>
            <w:pPr>
              <w:spacing w:after="0"/>
              <w:rPr>
                <w:sz w:val="1"/>
                <w:szCs w:val="1"/>
                <w:color w:val="auto"/>
              </w:rPr>
            </w:pPr>
          </w:p>
        </w:tc>
      </w:tr>
      <w:tr>
        <w:trPr>
          <w:trHeight w:val="160"/>
        </w:trPr>
        <w:tc>
          <w:tcPr>
            <w:tcW w:w="7480" w:type="dxa"/>
            <w:vAlign w:val="bottom"/>
          </w:tcPr>
          <w:p>
            <w:pPr>
              <w:spacing w:after="0"/>
              <w:rPr>
                <w:sz w:val="20"/>
                <w:szCs w:val="20"/>
                <w:color w:val="auto"/>
              </w:rPr>
            </w:pPr>
            <w:r>
              <w:rPr>
                <w:rFonts w:ascii="Times New Roman" w:cs="Times New Roman" w:eastAsia="Times New Roman" w:hAnsi="Times New Roman"/>
                <w:sz w:val="13"/>
                <w:szCs w:val="13"/>
                <w:color w:val="auto"/>
              </w:rPr>
              <w:t>Deferred financing costs included in liabilities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86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1,934</w:t>
            </w:r>
          </w:p>
        </w:tc>
        <w:tc>
          <w:tcPr>
            <w:tcW w:w="0" w:type="dxa"/>
            <w:vAlign w:val="bottom"/>
          </w:tcPr>
          <w:p>
            <w:pPr>
              <w:spacing w:after="0"/>
              <w:rPr>
                <w:sz w:val="1"/>
                <w:szCs w:val="1"/>
                <w:color w:val="auto"/>
              </w:rPr>
            </w:pPr>
          </w:p>
        </w:tc>
      </w:tr>
      <w:tr>
        <w:trPr>
          <w:trHeight w:val="16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Expenses for sale of vessels included in liabilities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1,870</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5,396</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w:t>
            </w:r>
          </w:p>
        </w:tc>
        <w:tc>
          <w:tcPr>
            <w:tcW w:w="0" w:type="dxa"/>
            <w:vAlign w:val="bottom"/>
          </w:tcPr>
          <w:p>
            <w:pPr>
              <w:spacing w:after="0"/>
              <w:rPr>
                <w:sz w:val="1"/>
                <w:szCs w:val="1"/>
                <w:color w:val="auto"/>
              </w:rPr>
            </w:pPr>
          </w:p>
        </w:tc>
      </w:tr>
      <w:tr>
        <w:trPr>
          <w:trHeight w:val="160"/>
        </w:trPr>
        <w:tc>
          <w:tcPr>
            <w:tcW w:w="7480" w:type="dxa"/>
            <w:vAlign w:val="bottom"/>
          </w:tcPr>
          <w:p>
            <w:pPr>
              <w:spacing w:after="0"/>
              <w:rPr>
                <w:sz w:val="20"/>
                <w:szCs w:val="20"/>
                <w:color w:val="auto"/>
              </w:rPr>
            </w:pPr>
            <w:r>
              <w:rPr>
                <w:rFonts w:ascii="Times New Roman" w:cs="Times New Roman" w:eastAsia="Times New Roman" w:hAnsi="Times New Roman"/>
                <w:sz w:val="13"/>
                <w:szCs w:val="13"/>
                <w:color w:val="auto"/>
              </w:rPr>
              <w:t>Seller’s credit agreements in connection with the acquisition of vessel- owning companies (Notes 5, 6, 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134,764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Dividends reinvestment plan issuance of new shares (Note 14)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16,475</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7480" w:type="dxa"/>
            <w:vAlign w:val="bottom"/>
          </w:tcPr>
          <w:p>
            <w:pPr>
              <w:spacing w:after="0"/>
              <w:rPr>
                <w:sz w:val="20"/>
                <w:szCs w:val="20"/>
                <w:color w:val="auto"/>
              </w:rPr>
            </w:pPr>
            <w:r>
              <w:rPr>
                <w:rFonts w:ascii="Times New Roman" w:cs="Times New Roman" w:eastAsia="Times New Roman" w:hAnsi="Times New Roman"/>
                <w:sz w:val="13"/>
                <w:szCs w:val="13"/>
                <w:color w:val="auto"/>
              </w:rPr>
              <w:t>Sale and lease back agreements and credit facility assumed in connection with the acquisition of vessel-owning companies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196,317</w:t>
            </w:r>
          </w:p>
        </w:tc>
        <w:tc>
          <w:tcPr>
            <w:tcW w:w="0" w:type="dxa"/>
            <w:vAlign w:val="bottom"/>
          </w:tcPr>
          <w:p>
            <w:pPr>
              <w:spacing w:after="0"/>
              <w:rPr>
                <w:sz w:val="1"/>
                <w:szCs w:val="1"/>
                <w:color w:val="auto"/>
              </w:rPr>
            </w:pPr>
          </w:p>
        </w:tc>
      </w:tr>
      <w:tr>
        <w:trPr>
          <w:trHeight w:val="147"/>
        </w:trPr>
        <w:tc>
          <w:tcPr>
            <w:tcW w:w="74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Amounts for the acquisition of vessel owning companies and companies owning vessels under construction, netted against the amount due</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279,783</w:t>
            </w:r>
          </w:p>
        </w:tc>
        <w:tc>
          <w:tcPr>
            <w:tcW w:w="0" w:type="dxa"/>
            <w:vAlign w:val="bottom"/>
          </w:tcPr>
          <w:p>
            <w:pPr>
              <w:spacing w:after="0"/>
              <w:rPr>
                <w:sz w:val="1"/>
                <w:szCs w:val="1"/>
                <w:color w:val="auto"/>
              </w:rPr>
            </w:pPr>
          </w:p>
        </w:tc>
      </w:tr>
      <w:tr>
        <w:trPr>
          <w:trHeight w:val="93"/>
        </w:trPr>
        <w:tc>
          <w:tcPr>
            <w:tcW w:w="7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from CMTC pursuant to the Standby Purchase Agreement (Notes 1, 5, 14)</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7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74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Advances for vessels under construction - related party, netted against the amount due from CMTC pursuant to the Standby Purchase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174,400</w:t>
            </w:r>
          </w:p>
        </w:tc>
        <w:tc>
          <w:tcPr>
            <w:tcW w:w="0" w:type="dxa"/>
            <w:vAlign w:val="bottom"/>
          </w:tcPr>
          <w:p>
            <w:pPr>
              <w:spacing w:after="0"/>
              <w:rPr>
                <w:sz w:val="1"/>
                <w:szCs w:val="1"/>
                <w:color w:val="auto"/>
              </w:rPr>
            </w:pPr>
          </w:p>
        </w:tc>
      </w:tr>
      <w:tr>
        <w:trPr>
          <w:trHeight w:val="93"/>
        </w:trPr>
        <w:tc>
          <w:tcPr>
            <w:tcW w:w="74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Agreement (Notes 1, 5, 6, 14)</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7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Reconciliation of cash, cash equivalents and restricted cash</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48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273,843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312,654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191,757</w:t>
            </w:r>
          </w:p>
        </w:tc>
        <w:tc>
          <w:tcPr>
            <w:tcW w:w="0" w:type="dxa"/>
            <w:vAlign w:val="bottom"/>
          </w:tcPr>
          <w:p>
            <w:pPr>
              <w:spacing w:after="0"/>
              <w:rPr>
                <w:sz w:val="1"/>
                <w:szCs w:val="1"/>
                <w:color w:val="auto"/>
              </w:rPr>
            </w:pPr>
          </w:p>
        </w:tc>
      </w:tr>
      <w:tr>
        <w:trPr>
          <w:trHeight w:val="16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Restricted cash - current assets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7,024</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Restricted cash - non-current assets</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14,023</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22,521</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11,721</w:t>
            </w:r>
          </w:p>
        </w:tc>
        <w:tc>
          <w:tcPr>
            <w:tcW w:w="0" w:type="dxa"/>
            <w:vAlign w:val="bottom"/>
          </w:tcPr>
          <w:p>
            <w:pPr>
              <w:spacing w:after="0"/>
              <w:rPr>
                <w:sz w:val="1"/>
                <w:szCs w:val="1"/>
                <w:color w:val="auto"/>
              </w:rPr>
            </w:pPr>
          </w:p>
        </w:tc>
      </w:tr>
      <w:tr>
        <w:trPr>
          <w:trHeight w:val="170"/>
        </w:trPr>
        <w:tc>
          <w:tcPr>
            <w:tcW w:w="7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cash, cash equivalents and restricted cash shown in the statements of cash flows</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294,890</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335,175</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203,478</w:t>
            </w:r>
          </w:p>
        </w:tc>
        <w:tc>
          <w:tcPr>
            <w:tcW w:w="0" w:type="dxa"/>
            <w:vAlign w:val="bottom"/>
          </w:tcPr>
          <w:p>
            <w:pPr>
              <w:spacing w:after="0"/>
              <w:rPr>
                <w:sz w:val="1"/>
                <w:szCs w:val="1"/>
                <w:color w:val="auto"/>
              </w:rPr>
            </w:pPr>
          </w:p>
        </w:tc>
      </w:tr>
      <w:tr>
        <w:trPr>
          <w:trHeight w:val="579"/>
        </w:trPr>
        <w:tc>
          <w:tcPr>
            <w:tcW w:w="8980" w:type="dxa"/>
            <w:vAlign w:val="bottom"/>
            <w:gridSpan w:val="5"/>
          </w:tcPr>
          <w:p>
            <w:pPr>
              <w:ind w:left="3540"/>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480" w:type="dxa"/>
            <w:vAlign w:val="bottom"/>
          </w:tcPr>
          <w:p>
            <w:pPr>
              <w:ind w:left="5560"/>
              <w:spacing w:after="0"/>
              <w:rPr>
                <w:sz w:val="20"/>
                <w:szCs w:val="20"/>
                <w:color w:val="auto"/>
              </w:rPr>
            </w:pPr>
            <w:r>
              <w:rPr>
                <w:rFonts w:ascii="Times New Roman" w:cs="Times New Roman" w:eastAsia="Times New Roman" w:hAnsi="Times New Roman"/>
                <w:sz w:val="13"/>
                <w:szCs w:val="13"/>
                <w:color w:val="auto"/>
              </w:rPr>
              <w:t>F- 5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3"/>
                <w:szCs w:val="13"/>
                <w:color w:val="0000EE"/>
                <w:w w:val="98"/>
              </w:rPr>
              <w:t>Table of Contents</w:t>
            </w:r>
          </w:p>
        </w:tc>
        <w:tc>
          <w:tcPr>
            <w:tcW w:w="0" w:type="dxa"/>
            <w:vAlign w:val="bottom"/>
          </w:tcPr>
          <w:p>
            <w:pPr>
              <w:spacing w:after="0"/>
              <w:rPr>
                <w:sz w:val="1"/>
                <w:szCs w:val="1"/>
                <w:color w:val="auto"/>
              </w:rPr>
            </w:pPr>
          </w:p>
        </w:tc>
      </w:tr>
      <w:tr>
        <w:trPr>
          <w:trHeight w:val="20"/>
        </w:trPr>
        <w:tc>
          <w:tcPr>
            <w:tcW w:w="7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00" w:top="205" w:right="3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3"/>
          <w:szCs w:val="13"/>
          <w:b w:val="1"/>
          <w:bCs w:val="1"/>
          <w:color w:val="auto"/>
        </w:rPr>
        <w:t>Capital Clean Energy Carriers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United States Dollars, unless otherwise specified)</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 Basis of Presentation and General Information</w:t>
      </w:r>
    </w:p>
    <w:p>
      <w:pPr>
        <w:spacing w:after="0" w:line="2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Capital Clean Energy Carriers Corp. (the “Company or CCEC”) is an international owner of ocean-going vessels, with a focus on the energy transition. As of December 31, 2025, the Company’s in-the-water fleet included 14 high specification vessels, including 12 latest generation Liquified Natural Gas Carriers (“LNG/Cs”) and two legacy Neo-Panamax container vessels, one of which the Company has agreed to sell in 2025, namely the M/V Buenaventura Express, which was subsequently delivered to its new owners in January 2026. The assets and liabilities, results of operations and cash flows of the M/V Buenaventura Express are reported in discontinued operations (Note 3). In addition, the Company’s under-construction fleet included nine additional latest generation LNG/Cs, six dual-fuel Medium Gas Carriers (“MG/Cs”) and four Handy Liquified CO2 Multi-Gas Carriers (“LCO2 – HMG/C”), to be delivered between the first quarter of 2026 and the first quarter of 2029. On January 5, 2026, the Company took delivery of its first LCO2 – HMG/C Active. The Company’s vessels operate under medium to long-term time and bareboat charters.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The Company was originally formed on January 16, 2007, as a Marshall Islands limited partnership with the name Capital Product Partners L.P. (the “Partnership” or “CPP”). On August 26, 2024, (the “Effective Date”), the Partnership converted from a Marshall Islands limited partnership to a Marshall Islands corporation and changed its name to Capital Clean Energy Carriers Corp. (the “Conversion”). The Conversion and the name change were approved by the majority of the Partnership’s unitholders, the conflicts committee of the Partnership’s board of directors, the Partnership’s full board of directors and the Partnership’s general partner, Capital GP L.L.C. (the “CGP”). As a result of the Conversion the following changes to the capital structure and corporate governance, among others, occurred:</w:t>
      </w:r>
    </w:p>
    <w:p>
      <w:pPr>
        <w:spacing w:after="0" w:line="1" w:lineRule="exact"/>
        <w:rPr>
          <w:sz w:val="20"/>
          <w:szCs w:val="20"/>
          <w:color w:val="auto"/>
        </w:rPr>
      </w:pPr>
    </w:p>
    <w:p>
      <w:pPr>
        <w:ind w:left="160" w:hanging="160"/>
        <w:spacing w:after="0"/>
        <w:tabs>
          <w:tab w:leader="none" w:pos="16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common unit of the Partnership outstanding immediately prior to the Effective Date was converted into one common share of CCEC with par value of $0.01 per share (the “common shares”);</w:t>
      </w:r>
    </w:p>
    <w:p>
      <w:pPr>
        <w:spacing w:after="0" w:line="10" w:lineRule="exact"/>
        <w:rPr>
          <w:rFonts w:ascii="Times New Roman" w:cs="Times New Roman" w:eastAsia="Times New Roman" w:hAnsi="Times New Roman"/>
          <w:sz w:val="13"/>
          <w:szCs w:val="13"/>
          <w:color w:val="auto"/>
        </w:rPr>
      </w:pPr>
    </w:p>
    <w:p>
      <w:pPr>
        <w:spacing w:after="0" w:line="256" w:lineRule="auto"/>
        <w:tabs>
          <w:tab w:leader="none" w:pos="212"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348,570 general partner units and the general partner’s incentive distribution rights, in each case, outstanding immediately prior to the Effective Date were converted into an aggregate of 3,500,000 common shares;</w:t>
      </w:r>
    </w:p>
    <w:p>
      <w:pPr>
        <w:spacing w:after="0" w:line="256" w:lineRule="auto"/>
        <w:tabs>
          <w:tab w:leader="none" w:pos="235"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CGP gave up its existing management and consent rights with respect to CPP, including its right to appoint three directors to CPP’s board of directors and its veto rights over, among other things, approval of mergers, consolidations and other significant corporate transactions and amendments to CPP’s governing documents;</w:t>
      </w:r>
    </w:p>
    <w:p>
      <w:pPr>
        <w:ind w:left="220" w:hanging="220"/>
        <w:spacing w:after="0"/>
        <w:tabs>
          <w:tab w:leader="none" w:pos="22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Conversion, the board of directors consist of eight directors, a majority of which are “independent” in accordance with Nasdaq rules; and</w:t>
      </w:r>
    </w:p>
    <w:p>
      <w:pPr>
        <w:spacing w:after="0" w:line="10" w:lineRule="exact"/>
        <w:rPr>
          <w:rFonts w:ascii="Times New Roman" w:cs="Times New Roman" w:eastAsia="Times New Roman" w:hAnsi="Times New Roman"/>
          <w:sz w:val="13"/>
          <w:szCs w:val="13"/>
          <w:color w:val="auto"/>
        </w:rPr>
      </w:pPr>
    </w:p>
    <w:p>
      <w:pPr>
        <w:jc w:val="both"/>
        <w:spacing w:after="0" w:line="259" w:lineRule="auto"/>
        <w:tabs>
          <w:tab w:leader="none" w:pos="225"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until Capital Maritime &amp; Trading Corp. (“CMTC”) and its affiliates cease to own at least 25% of the outstanding common shares, CMTC and its affiliates will have the right to nominate three out of the eight directors to the board. If the holdings of CMTC and its affiliates fall below 25% but remain above 15% of the outstanding common shares, CMTC and its affiliates thereafter will have the right to nominate two out of eight directors to the board. If the holdings of CMTC and its affiliates fall below 15% but remain above 5% of the outstanding common shares, CMTC and its affiliates thereafter will have the right to nominate one out of eight directors to the board. If the holdings of CMTC and its affiliates fall below 5%, CMTC will no longer have any rights to nominate directors to the board. The remaining members of the board of directors will be nominated by CCEC’s nominating committee and all directors will be elected by majority vote of the holders of common shares (including CMTC and its affiliates), other than in a contested election, in which the election of directors will be by a plurality vote.</w:t>
      </w:r>
    </w:p>
    <w:p>
      <w:pPr>
        <w:spacing w:after="0" w:line="13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The Conversion is deemed a continuation of the existence of the Partnership in the form of a Marshall Islands corporation, with the existence of the Company deemed to have commenced on the date the Partnership commenced its existence. Following the Conversion the Company’s common shares are trading on the Nasdaq Global Select Market under the name “Capital Clean Energy Carriers Corp.” with the ticker symbol CCEC. Except where the context otherwise requires, references herein to CCEC or the Company for periods prior to the Conversion are to CPP, and references to common shares for periods prior to the Conversion are to common units of CPP. The financial impact of the Conversion reflected in the audited consolidated financial statements contained herein consisted of (i) reclassifications from partnership equity accounts to equity accounts reflective of a corporation and (ii) the recognition of a deemed dividend relating to the conversion of 348,570 general partner units and the general partner’s incentive distribution rights into 3,500,000 common shares (Note 14).</w:t>
      </w:r>
    </w:p>
    <w:p>
      <w:pPr>
        <w:spacing w:after="0" w:line="13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Following the announcement of the Company on November 13, 2023, of its intention to shift its business focus towards liquified natural gas and energy transition shipping and gradually divest from its non-core assets, the Company entered into 14 memoranda of agreement (“MOA”) with third parties for the disposal of 14 container carrier vessels. The Company determined that the assets and liabilities, results of operations and cash flows of the 14 container carrier vessels met the criteria to be reported in discontinued operations (Note 3).</w:t>
      </w:r>
    </w:p>
    <w:p>
      <w:pPr>
        <w:spacing w:after="0" w:line="366" w:lineRule="exact"/>
        <w:rPr>
          <w:sz w:val="20"/>
          <w:szCs w:val="20"/>
          <w:color w:val="auto"/>
        </w:rPr>
      </w:pPr>
    </w:p>
    <w:p>
      <w:pPr>
        <w:jc w:val="right"/>
        <w:spacing w:after="0"/>
        <w:tabs>
          <w:tab w:leader="none" w:pos="920" w:val="left"/>
        </w:tabs>
        <w:rPr>
          <w:sz w:val="20"/>
          <w:szCs w:val="20"/>
          <w:color w:val="auto"/>
        </w:rPr>
      </w:pPr>
      <w:r>
        <w:rPr>
          <w:rFonts w:ascii="Times New Roman" w:cs="Times New Roman" w:eastAsia="Times New Roman" w:hAnsi="Times New Roman"/>
          <w:sz w:val="13"/>
          <w:szCs w:val="13"/>
          <w:color w:val="auto"/>
        </w:rPr>
        <w:t>F- 6</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6788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3"/>
          <w:szCs w:val="13"/>
          <w:b w:val="1"/>
          <w:bCs w:val="1"/>
          <w:color w:val="auto"/>
        </w:rPr>
        <w:t>Capital Clean Energy Carriers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United States Dollars, unless otherwise specified)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 Basis of Presentation and General Information – Continued</w:t>
      </w:r>
    </w:p>
    <w:p>
      <w:pPr>
        <w:spacing w:after="0" w:line="172"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3"/>
          <w:szCs w:val="13"/>
          <w:color w:val="auto"/>
        </w:rPr>
        <w:t>As of December 31, 2025, the consolidated financial statements include Capital Clean Energy Carriers Corp. and the following wholly owned significant subsidiaries which were all incorporated or formed under the laws of the Marshall Islands, Liberia or Cyprus.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8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Date acquired /</w:t>
            </w:r>
          </w:p>
        </w:tc>
        <w:tc>
          <w:tcPr>
            <w:tcW w:w="0" w:type="dxa"/>
            <w:vAlign w:val="bottom"/>
          </w:tcPr>
          <w:p>
            <w:pPr>
              <w:spacing w:after="0"/>
              <w:rPr>
                <w:sz w:val="1"/>
                <w:szCs w:val="1"/>
                <w:color w:val="auto"/>
              </w:rPr>
            </w:pPr>
          </w:p>
        </w:tc>
      </w:tr>
      <w:tr>
        <w:trPr>
          <w:trHeight w:val="80"/>
        </w:trPr>
        <w:tc>
          <w:tcPr>
            <w:tcW w:w="28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acquired/delivered</w:t>
            </w: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800" w:type="dxa"/>
            <w:vAlign w:val="bottom"/>
          </w:tcPr>
          <w:p>
            <w:pPr>
              <w:spacing w:after="0"/>
              <w:rPr>
                <w:sz w:val="6"/>
                <w:szCs w:val="6"/>
                <w:color w:val="auto"/>
              </w:rPr>
            </w:pPr>
          </w:p>
        </w:tc>
        <w:tc>
          <w:tcPr>
            <w:tcW w:w="1400" w:type="dxa"/>
            <w:vAlign w:val="bottom"/>
            <w:vMerge w:val="restart"/>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Date of</w:t>
            </w:r>
          </w:p>
        </w:tc>
        <w:tc>
          <w:tcPr>
            <w:tcW w:w="3020" w:type="dxa"/>
            <w:vAlign w:val="bottom"/>
          </w:tcPr>
          <w:p>
            <w:pPr>
              <w:spacing w:after="0"/>
              <w:rPr>
                <w:sz w:val="6"/>
                <w:szCs w:val="6"/>
                <w:color w:val="auto"/>
              </w:rPr>
            </w:pPr>
          </w:p>
        </w:tc>
        <w:tc>
          <w:tcPr>
            <w:tcW w:w="1220" w:type="dxa"/>
            <w:vAlign w:val="bottom"/>
            <w:vMerge w:val="restart"/>
          </w:tcPr>
          <w:p>
            <w:pPr>
              <w:jc w:val="center"/>
              <w:ind w:left="93"/>
              <w:spacing w:after="0"/>
              <w:rPr>
                <w:sz w:val="20"/>
                <w:szCs w:val="20"/>
                <w:color w:val="auto"/>
              </w:rPr>
            </w:pPr>
            <w:r>
              <w:rPr>
                <w:rFonts w:ascii="Times New Roman" w:cs="Times New Roman" w:eastAsia="Times New Roman" w:hAnsi="Times New Roman"/>
                <w:sz w:val="13"/>
                <w:szCs w:val="13"/>
                <w:b w:val="1"/>
                <w:bCs w:val="1"/>
                <w:color w:val="auto"/>
              </w:rPr>
              <w:t>Deadweight</w:t>
            </w:r>
          </w:p>
        </w:tc>
        <w:tc>
          <w:tcPr>
            <w:tcW w:w="1360" w:type="dxa"/>
            <w:vAlign w:val="bottom"/>
            <w:vMerge w:val="continue"/>
          </w:tcPr>
          <w:p>
            <w:pPr>
              <w:spacing w:after="0"/>
              <w:rPr>
                <w:sz w:val="6"/>
                <w:szCs w:val="6"/>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delivered by CMTC or</w:t>
            </w:r>
          </w:p>
        </w:tc>
        <w:tc>
          <w:tcPr>
            <w:tcW w:w="0" w:type="dxa"/>
            <w:vAlign w:val="bottom"/>
          </w:tcPr>
          <w:p>
            <w:pPr>
              <w:spacing w:after="0"/>
              <w:rPr>
                <w:sz w:val="1"/>
                <w:szCs w:val="1"/>
                <w:color w:val="auto"/>
              </w:rPr>
            </w:pPr>
          </w:p>
        </w:tc>
      </w:tr>
      <w:tr>
        <w:trPr>
          <w:trHeight w:val="80"/>
        </w:trPr>
        <w:tc>
          <w:tcPr>
            <w:tcW w:w="2800" w:type="dxa"/>
            <w:vAlign w:val="bottom"/>
            <w:vMerge w:val="restart"/>
          </w:tcPr>
          <w:p>
            <w:pPr>
              <w:ind w:left="1100"/>
              <w:spacing w:after="0"/>
              <w:rPr>
                <w:sz w:val="20"/>
                <w:szCs w:val="20"/>
                <w:color w:val="auto"/>
              </w:rPr>
            </w:pPr>
            <w:r>
              <w:rPr>
                <w:rFonts w:ascii="Times New Roman" w:cs="Times New Roman" w:eastAsia="Times New Roman" w:hAnsi="Times New Roman"/>
                <w:sz w:val="13"/>
                <w:szCs w:val="13"/>
                <w:b w:val="1"/>
                <w:bCs w:val="1"/>
                <w:color w:val="auto"/>
              </w:rPr>
              <w:t>Subsidiary</w:t>
            </w:r>
          </w:p>
        </w:tc>
        <w:tc>
          <w:tcPr>
            <w:tcW w:w="1400" w:type="dxa"/>
            <w:vAlign w:val="bottom"/>
            <w:vMerge w:val="continue"/>
          </w:tcPr>
          <w:p>
            <w:pPr>
              <w:spacing w:after="0"/>
              <w:rPr>
                <w:sz w:val="6"/>
                <w:szCs w:val="6"/>
                <w:color w:val="auto"/>
              </w:rPr>
            </w:pPr>
          </w:p>
        </w:tc>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Vessel Owned by Subsidiary</w:t>
            </w:r>
          </w:p>
        </w:tc>
        <w:tc>
          <w:tcPr>
            <w:tcW w:w="1220" w:type="dxa"/>
            <w:vAlign w:val="bottom"/>
            <w:vMerge w:val="continue"/>
          </w:tcPr>
          <w:p>
            <w:pPr>
              <w:spacing w:after="0"/>
              <w:rPr>
                <w:sz w:val="6"/>
                <w:szCs w:val="6"/>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by the Company /</w:t>
            </w: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800" w:type="dxa"/>
            <w:vAlign w:val="bottom"/>
            <w:vMerge w:val="continue"/>
          </w:tcPr>
          <w:p>
            <w:pPr>
              <w:spacing w:after="0"/>
              <w:rPr>
                <w:sz w:val="6"/>
                <w:szCs w:val="6"/>
                <w:color w:val="auto"/>
              </w:rPr>
            </w:pPr>
          </w:p>
        </w:tc>
        <w:tc>
          <w:tcPr>
            <w:tcW w:w="1400" w:type="dxa"/>
            <w:vAlign w:val="bottom"/>
            <w:vMerge w:val="restart"/>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Incorporation</w:t>
            </w:r>
          </w:p>
        </w:tc>
        <w:tc>
          <w:tcPr>
            <w:tcW w:w="3020" w:type="dxa"/>
            <w:vAlign w:val="bottom"/>
            <w:vMerge w:val="continue"/>
          </w:tcPr>
          <w:p>
            <w:pPr>
              <w:spacing w:after="0"/>
              <w:rPr>
                <w:sz w:val="6"/>
                <w:szCs w:val="6"/>
                <w:color w:val="auto"/>
              </w:rPr>
            </w:pPr>
          </w:p>
        </w:tc>
        <w:tc>
          <w:tcPr>
            <w:tcW w:w="1220" w:type="dxa"/>
            <w:vAlign w:val="bottom"/>
            <w:vMerge w:val="restart"/>
          </w:tcPr>
          <w:p>
            <w:pPr>
              <w:jc w:val="center"/>
              <w:ind w:left="93"/>
              <w:spacing w:after="0"/>
              <w:rPr>
                <w:sz w:val="20"/>
                <w:szCs w:val="20"/>
                <w:color w:val="auto"/>
              </w:rPr>
            </w:pPr>
            <w:r>
              <w:rPr>
                <w:rFonts w:ascii="Times New Roman" w:cs="Times New Roman" w:eastAsia="Times New Roman" w:hAnsi="Times New Roman"/>
                <w:sz w:val="13"/>
                <w:szCs w:val="13"/>
                <w:b w:val="1"/>
                <w:bCs w:val="1"/>
                <w:color w:val="auto"/>
              </w:rPr>
              <w:t>(“DWT”)</w:t>
            </w:r>
          </w:p>
        </w:tc>
        <w:tc>
          <w:tcPr>
            <w:tcW w:w="1360" w:type="dxa"/>
            <w:vAlign w:val="bottom"/>
            <w:vMerge w:val="continue"/>
          </w:tcPr>
          <w:p>
            <w:pPr>
              <w:spacing w:after="0"/>
              <w:rPr>
                <w:sz w:val="6"/>
                <w:szCs w:val="6"/>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CGC Operating Corp.</w:t>
            </w:r>
          </w:p>
        </w:tc>
        <w:tc>
          <w:tcPr>
            <w:tcW w:w="0" w:type="dxa"/>
            <w:vAlign w:val="bottom"/>
          </w:tcPr>
          <w:p>
            <w:pPr>
              <w:spacing w:after="0"/>
              <w:rPr>
                <w:sz w:val="1"/>
                <w:szCs w:val="1"/>
                <w:color w:val="auto"/>
              </w:rPr>
            </w:pPr>
          </w:p>
        </w:tc>
      </w:tr>
      <w:tr>
        <w:trPr>
          <w:trHeight w:val="80"/>
        </w:trPr>
        <w:tc>
          <w:tcPr>
            <w:tcW w:w="28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302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estimated delivery</w:t>
            </w: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8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(“CGC”)</w:t>
            </w:r>
          </w:p>
        </w:tc>
        <w:tc>
          <w:tcPr>
            <w:tcW w:w="0" w:type="dxa"/>
            <w:vAlign w:val="bottom"/>
          </w:tcPr>
          <w:p>
            <w:pPr>
              <w:spacing w:after="0"/>
              <w:rPr>
                <w:sz w:val="1"/>
                <w:szCs w:val="1"/>
                <w:color w:val="auto"/>
              </w:rPr>
            </w:pPr>
          </w:p>
        </w:tc>
      </w:tr>
      <w:tr>
        <w:trPr>
          <w:trHeight w:val="95"/>
        </w:trPr>
        <w:tc>
          <w:tcPr>
            <w:tcW w:w="28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8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30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Capital Product Operating LLC</w:t>
            </w:r>
          </w:p>
        </w:tc>
        <w:tc>
          <w:tcPr>
            <w:tcW w:w="140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01/16/2007</w:t>
            </w:r>
          </w:p>
        </w:tc>
        <w:tc>
          <w:tcPr>
            <w:tcW w:w="3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CPLP Shipping Holdings PLC (“CPLP PLC”)</w:t>
            </w:r>
          </w:p>
        </w:tc>
        <w:tc>
          <w:tcPr>
            <w:tcW w:w="140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08/14/2021</w:t>
            </w:r>
          </w:p>
        </w:tc>
        <w:tc>
          <w:tcPr>
            <w:tcW w:w="3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center"/>
              <w:ind w:left="93"/>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CPLP Gas Operating Corp.</w:t>
            </w:r>
          </w:p>
        </w:tc>
        <w:tc>
          <w:tcPr>
            <w:tcW w:w="140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08/24/2021</w:t>
            </w:r>
          </w:p>
        </w:tc>
        <w:tc>
          <w:tcPr>
            <w:tcW w:w="3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Patroklos Marine Corp.</w:t>
            </w:r>
          </w:p>
        </w:tc>
        <w:tc>
          <w:tcPr>
            <w:tcW w:w="140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06/17/2008</w:t>
            </w:r>
          </w:p>
        </w:tc>
        <w:tc>
          <w:tcPr>
            <w:tcW w:w="3020" w:type="dxa"/>
            <w:vAlign w:val="bottom"/>
          </w:tcPr>
          <w:p>
            <w:pPr>
              <w:jc w:val="center"/>
              <w:spacing w:after="0" w:line="190" w:lineRule="exact"/>
              <w:rPr>
                <w:sz w:val="20"/>
                <w:szCs w:val="20"/>
                <w:color w:val="auto"/>
              </w:rPr>
            </w:pPr>
            <w:r>
              <w:rPr>
                <w:rFonts w:ascii="Times New Roman" w:cs="Times New Roman" w:eastAsia="Times New Roman" w:hAnsi="Times New Roman"/>
                <w:sz w:val="13"/>
                <w:szCs w:val="13"/>
                <w:color w:val="auto"/>
                <w:w w:val="99"/>
              </w:rPr>
              <w:t xml:space="preserve">M/V Cape Agamemnon </w:t>
            </w:r>
            <w:r>
              <w:rPr>
                <w:rFonts w:ascii="Times New Roman" w:cs="Times New Roman" w:eastAsia="Times New Roman" w:hAnsi="Times New Roman"/>
                <w:sz w:val="21"/>
                <w:szCs w:val="21"/>
                <w:color w:val="auto"/>
                <w:w w:val="99"/>
                <w:vertAlign w:val="superscript"/>
              </w:rPr>
              <w:t>(3)</w:t>
            </w:r>
          </w:p>
        </w:tc>
        <w:tc>
          <w:tcPr>
            <w:tcW w:w="1220" w:type="dxa"/>
            <w:vAlign w:val="bottom"/>
          </w:tcPr>
          <w:p>
            <w:pPr>
              <w:jc w:val="center"/>
              <w:ind w:left="93"/>
              <w:spacing w:after="0"/>
              <w:rPr>
                <w:sz w:val="20"/>
                <w:szCs w:val="20"/>
                <w:color w:val="auto"/>
              </w:rPr>
            </w:pPr>
            <w:r>
              <w:rPr>
                <w:rFonts w:ascii="Times New Roman" w:cs="Times New Roman" w:eastAsia="Times New Roman" w:hAnsi="Times New Roman"/>
                <w:sz w:val="13"/>
                <w:szCs w:val="13"/>
                <w:color w:val="auto"/>
                <w:w w:val="99"/>
              </w:rPr>
              <w:t>179,221</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06/09/2011</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01/25/2011</w:t>
            </w:r>
          </w:p>
        </w:tc>
        <w:tc>
          <w:tcPr>
            <w:tcW w:w="0" w:type="dxa"/>
            <w:vAlign w:val="bottom"/>
          </w:tcPr>
          <w:p>
            <w:pPr>
              <w:spacing w:after="0"/>
              <w:rPr>
                <w:sz w:val="1"/>
                <w:szCs w:val="1"/>
                <w:color w:val="auto"/>
              </w:rPr>
            </w:pPr>
          </w:p>
        </w:tc>
      </w:tr>
      <w:tr>
        <w:trPr>
          <w:trHeight w:val="190"/>
        </w:trPr>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Anax Container Carrier S.A.</w:t>
            </w:r>
          </w:p>
        </w:tc>
        <w:tc>
          <w:tcPr>
            <w:tcW w:w="140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3"/>
                <w:szCs w:val="13"/>
                <w:color w:val="auto"/>
              </w:rPr>
              <w:t>04/08/2011</w:t>
            </w:r>
          </w:p>
        </w:tc>
        <w:tc>
          <w:tcPr>
            <w:tcW w:w="302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3"/>
                <w:szCs w:val="13"/>
                <w:color w:val="auto"/>
                <w:w w:val="99"/>
              </w:rPr>
              <w:t>M/V Hyundai Prestige</w:t>
            </w:r>
            <w:r>
              <w:rPr>
                <w:rFonts w:ascii="Times New Roman" w:cs="Times New Roman" w:eastAsia="Times New Roman" w:hAnsi="Times New Roman"/>
                <w:sz w:val="21"/>
                <w:szCs w:val="21"/>
                <w:color w:val="auto"/>
                <w:w w:val="99"/>
                <w:vertAlign w:val="superscript"/>
              </w:rPr>
              <w:t>(2)</w:t>
            </w:r>
          </w:p>
        </w:tc>
        <w:tc>
          <w:tcPr>
            <w:tcW w:w="122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rPr>
              <w:t>63,010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09/11/2013</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02/19/2013</w:t>
            </w:r>
          </w:p>
        </w:tc>
        <w:tc>
          <w:tcPr>
            <w:tcW w:w="0" w:type="dxa"/>
            <w:vAlign w:val="bottom"/>
          </w:tcPr>
          <w:p>
            <w:pPr>
              <w:spacing w:after="0"/>
              <w:rPr>
                <w:sz w:val="1"/>
                <w:szCs w:val="1"/>
                <w:color w:val="auto"/>
              </w:rPr>
            </w:pPr>
          </w:p>
        </w:tc>
      </w:tr>
      <w:tr>
        <w:trPr>
          <w:trHeight w:val="190"/>
        </w:trPr>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Hercules Container Carrier S.A.</w:t>
            </w:r>
          </w:p>
        </w:tc>
        <w:tc>
          <w:tcPr>
            <w:tcW w:w="140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auto"/>
              </w:rPr>
              <w:t>04/08/2011</w:t>
            </w:r>
          </w:p>
        </w:tc>
        <w:tc>
          <w:tcPr>
            <w:tcW w:w="3020" w:type="dxa"/>
            <w:vAlign w:val="bottom"/>
          </w:tcPr>
          <w:p>
            <w:pPr>
              <w:jc w:val="center"/>
              <w:spacing w:after="0" w:line="190" w:lineRule="exact"/>
              <w:rPr>
                <w:sz w:val="20"/>
                <w:szCs w:val="20"/>
                <w:color w:val="auto"/>
              </w:rPr>
            </w:pPr>
            <w:r>
              <w:rPr>
                <w:rFonts w:ascii="Times New Roman" w:cs="Times New Roman" w:eastAsia="Times New Roman" w:hAnsi="Times New Roman"/>
                <w:sz w:val="13"/>
                <w:szCs w:val="13"/>
                <w:color w:val="auto"/>
                <w:w w:val="98"/>
              </w:rPr>
              <w:t>M/V Hyundai Premium</w:t>
            </w:r>
            <w:r>
              <w:rPr>
                <w:rFonts w:ascii="Times New Roman" w:cs="Times New Roman" w:eastAsia="Times New Roman" w:hAnsi="Times New Roman"/>
                <w:sz w:val="21"/>
                <w:szCs w:val="21"/>
                <w:color w:val="auto"/>
                <w:w w:val="98"/>
                <w:vertAlign w:val="superscript"/>
              </w:rPr>
              <w:t>(2)</w:t>
            </w:r>
          </w:p>
        </w:tc>
        <w:tc>
          <w:tcPr>
            <w:tcW w:w="1220" w:type="dxa"/>
            <w:vAlign w:val="bottom"/>
          </w:tcPr>
          <w:p>
            <w:pPr>
              <w:jc w:val="center"/>
              <w:ind w:left="93"/>
              <w:spacing w:after="0"/>
              <w:rPr>
                <w:sz w:val="20"/>
                <w:szCs w:val="20"/>
                <w:color w:val="auto"/>
              </w:rPr>
            </w:pPr>
            <w:r>
              <w:rPr>
                <w:rFonts w:ascii="Times New Roman" w:cs="Times New Roman" w:eastAsia="Times New Roman" w:hAnsi="Times New Roman"/>
                <w:sz w:val="13"/>
                <w:szCs w:val="13"/>
                <w:color w:val="auto"/>
              </w:rPr>
              <w:t>63,010</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03/20/2013</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03/11/2013</w:t>
            </w:r>
          </w:p>
        </w:tc>
        <w:tc>
          <w:tcPr>
            <w:tcW w:w="0" w:type="dxa"/>
            <w:vAlign w:val="bottom"/>
          </w:tcPr>
          <w:p>
            <w:pPr>
              <w:spacing w:after="0"/>
              <w:rPr>
                <w:sz w:val="1"/>
                <w:szCs w:val="1"/>
                <w:color w:val="auto"/>
              </w:rPr>
            </w:pPr>
          </w:p>
        </w:tc>
      </w:tr>
      <w:tr>
        <w:trPr>
          <w:trHeight w:val="190"/>
        </w:trPr>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Iason Container Carrier S.A.</w:t>
            </w:r>
          </w:p>
        </w:tc>
        <w:tc>
          <w:tcPr>
            <w:tcW w:w="140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3"/>
                <w:szCs w:val="13"/>
                <w:color w:val="auto"/>
              </w:rPr>
              <w:t>04/08/2011</w:t>
            </w:r>
          </w:p>
        </w:tc>
        <w:tc>
          <w:tcPr>
            <w:tcW w:w="302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3"/>
                <w:szCs w:val="13"/>
                <w:color w:val="auto"/>
                <w:w w:val="99"/>
              </w:rPr>
              <w:t>M/V Hyundai Paramount</w:t>
            </w:r>
            <w:r>
              <w:rPr>
                <w:rFonts w:ascii="Times New Roman" w:cs="Times New Roman" w:eastAsia="Times New Roman" w:hAnsi="Times New Roman"/>
                <w:sz w:val="21"/>
                <w:szCs w:val="21"/>
                <w:color w:val="auto"/>
                <w:w w:val="99"/>
                <w:vertAlign w:val="superscript"/>
              </w:rPr>
              <w:t>(2)</w:t>
            </w:r>
          </w:p>
        </w:tc>
        <w:tc>
          <w:tcPr>
            <w:tcW w:w="122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rPr>
              <w:t>63,010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03/27/2013</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03/27/2013</w:t>
            </w:r>
          </w:p>
        </w:tc>
        <w:tc>
          <w:tcPr>
            <w:tcW w:w="0" w:type="dxa"/>
            <w:vAlign w:val="bottom"/>
          </w:tcPr>
          <w:p>
            <w:pPr>
              <w:spacing w:after="0"/>
              <w:rPr>
                <w:sz w:val="1"/>
                <w:szCs w:val="1"/>
                <w:color w:val="auto"/>
              </w:rPr>
            </w:pPr>
          </w:p>
        </w:tc>
      </w:tr>
      <w:tr>
        <w:trPr>
          <w:trHeight w:val="190"/>
        </w:trPr>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Thiseas Container Carrier S.A.</w:t>
            </w:r>
          </w:p>
        </w:tc>
        <w:tc>
          <w:tcPr>
            <w:tcW w:w="140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auto"/>
              </w:rPr>
              <w:t>04/08/2011</w:t>
            </w:r>
          </w:p>
        </w:tc>
        <w:tc>
          <w:tcPr>
            <w:tcW w:w="3020" w:type="dxa"/>
            <w:vAlign w:val="bottom"/>
          </w:tcPr>
          <w:p>
            <w:pPr>
              <w:jc w:val="center"/>
              <w:spacing w:after="0" w:line="190" w:lineRule="exact"/>
              <w:rPr>
                <w:sz w:val="20"/>
                <w:szCs w:val="20"/>
                <w:color w:val="auto"/>
              </w:rPr>
            </w:pPr>
            <w:r>
              <w:rPr>
                <w:rFonts w:ascii="Times New Roman" w:cs="Times New Roman" w:eastAsia="Times New Roman" w:hAnsi="Times New Roman"/>
                <w:sz w:val="13"/>
                <w:szCs w:val="13"/>
                <w:color w:val="auto"/>
                <w:w w:val="99"/>
              </w:rPr>
              <w:t>M/V Hyundai Privilege</w:t>
            </w:r>
            <w:r>
              <w:rPr>
                <w:rFonts w:ascii="Times New Roman" w:cs="Times New Roman" w:eastAsia="Times New Roman" w:hAnsi="Times New Roman"/>
                <w:sz w:val="21"/>
                <w:szCs w:val="21"/>
                <w:color w:val="auto"/>
                <w:w w:val="99"/>
                <w:vertAlign w:val="superscript"/>
              </w:rPr>
              <w:t>(1)</w:t>
            </w:r>
          </w:p>
        </w:tc>
        <w:tc>
          <w:tcPr>
            <w:tcW w:w="1220" w:type="dxa"/>
            <w:vAlign w:val="bottom"/>
          </w:tcPr>
          <w:p>
            <w:pPr>
              <w:jc w:val="center"/>
              <w:ind w:left="93"/>
              <w:spacing w:after="0"/>
              <w:rPr>
                <w:sz w:val="20"/>
                <w:szCs w:val="20"/>
                <w:color w:val="auto"/>
              </w:rPr>
            </w:pPr>
            <w:r>
              <w:rPr>
                <w:rFonts w:ascii="Times New Roman" w:cs="Times New Roman" w:eastAsia="Times New Roman" w:hAnsi="Times New Roman"/>
                <w:sz w:val="13"/>
                <w:szCs w:val="13"/>
                <w:color w:val="auto"/>
              </w:rPr>
              <w:t>63,010</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09/11/2013</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05/31/2013</w:t>
            </w:r>
          </w:p>
        </w:tc>
        <w:tc>
          <w:tcPr>
            <w:tcW w:w="0" w:type="dxa"/>
            <w:vAlign w:val="bottom"/>
          </w:tcPr>
          <w:p>
            <w:pPr>
              <w:spacing w:after="0"/>
              <w:rPr>
                <w:sz w:val="1"/>
                <w:szCs w:val="1"/>
                <w:color w:val="auto"/>
              </w:rPr>
            </w:pPr>
          </w:p>
        </w:tc>
      </w:tr>
      <w:tr>
        <w:trPr>
          <w:trHeight w:val="190"/>
        </w:trPr>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Cronus Container Carrier S.A.</w:t>
            </w:r>
          </w:p>
        </w:tc>
        <w:tc>
          <w:tcPr>
            <w:tcW w:w="140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3"/>
                <w:szCs w:val="13"/>
                <w:color w:val="auto"/>
              </w:rPr>
              <w:t>07/19/2011</w:t>
            </w:r>
          </w:p>
        </w:tc>
        <w:tc>
          <w:tcPr>
            <w:tcW w:w="302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3"/>
                <w:szCs w:val="13"/>
                <w:color w:val="auto"/>
                <w:w w:val="99"/>
              </w:rPr>
              <w:t>M/V Hyundai Platinum</w:t>
            </w:r>
            <w:r>
              <w:rPr>
                <w:rFonts w:ascii="Times New Roman" w:cs="Times New Roman" w:eastAsia="Times New Roman" w:hAnsi="Times New Roman"/>
                <w:sz w:val="21"/>
                <w:szCs w:val="21"/>
                <w:color w:val="auto"/>
                <w:w w:val="99"/>
                <w:vertAlign w:val="superscript"/>
              </w:rPr>
              <w:t>(1)</w:t>
            </w:r>
          </w:p>
        </w:tc>
        <w:tc>
          <w:tcPr>
            <w:tcW w:w="122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rPr>
              <w:t>63,010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09/11/2013</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06/14/2013</w:t>
            </w:r>
          </w:p>
        </w:tc>
        <w:tc>
          <w:tcPr>
            <w:tcW w:w="0" w:type="dxa"/>
            <w:vAlign w:val="bottom"/>
          </w:tcPr>
          <w:p>
            <w:pPr>
              <w:spacing w:after="0"/>
              <w:rPr>
                <w:sz w:val="1"/>
                <w:szCs w:val="1"/>
                <w:color w:val="auto"/>
              </w:rPr>
            </w:pPr>
          </w:p>
        </w:tc>
      </w:tr>
      <w:tr>
        <w:trPr>
          <w:trHeight w:val="190"/>
        </w:trPr>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Dias Container Carrier S.A.</w:t>
            </w:r>
          </w:p>
        </w:tc>
        <w:tc>
          <w:tcPr>
            <w:tcW w:w="140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05/16/2013</w:t>
            </w:r>
          </w:p>
        </w:tc>
        <w:tc>
          <w:tcPr>
            <w:tcW w:w="3020" w:type="dxa"/>
            <w:vAlign w:val="bottom"/>
          </w:tcPr>
          <w:p>
            <w:pPr>
              <w:jc w:val="center"/>
              <w:spacing w:after="0" w:line="190" w:lineRule="exact"/>
              <w:rPr>
                <w:sz w:val="20"/>
                <w:szCs w:val="20"/>
                <w:color w:val="auto"/>
              </w:rPr>
            </w:pPr>
            <w:r>
              <w:rPr>
                <w:rFonts w:ascii="Times New Roman" w:cs="Times New Roman" w:eastAsia="Times New Roman" w:hAnsi="Times New Roman"/>
                <w:sz w:val="13"/>
                <w:szCs w:val="13"/>
                <w:color w:val="auto"/>
                <w:w w:val="98"/>
              </w:rPr>
              <w:t>M/V Akadimos</w:t>
            </w:r>
            <w:r>
              <w:rPr>
                <w:rFonts w:ascii="Times New Roman" w:cs="Times New Roman" w:eastAsia="Times New Roman" w:hAnsi="Times New Roman"/>
                <w:sz w:val="21"/>
                <w:szCs w:val="21"/>
                <w:color w:val="auto"/>
                <w:w w:val="98"/>
                <w:vertAlign w:val="superscript"/>
              </w:rPr>
              <w:t>(2)</w:t>
            </w:r>
          </w:p>
        </w:tc>
        <w:tc>
          <w:tcPr>
            <w:tcW w:w="1220" w:type="dxa"/>
            <w:vAlign w:val="bottom"/>
          </w:tcPr>
          <w:p>
            <w:pPr>
              <w:jc w:val="center"/>
              <w:ind w:left="93"/>
              <w:spacing w:after="0"/>
              <w:rPr>
                <w:sz w:val="20"/>
                <w:szCs w:val="20"/>
                <w:color w:val="auto"/>
              </w:rPr>
            </w:pPr>
            <w:r>
              <w:rPr>
                <w:rFonts w:ascii="Times New Roman" w:cs="Times New Roman" w:eastAsia="Times New Roman" w:hAnsi="Times New Roman"/>
                <w:sz w:val="13"/>
                <w:szCs w:val="13"/>
                <w:color w:val="auto"/>
                <w:w w:val="99"/>
              </w:rPr>
              <w:t>115,534</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06/10/2015</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06/10/2015</w:t>
            </w:r>
          </w:p>
        </w:tc>
        <w:tc>
          <w:tcPr>
            <w:tcW w:w="0" w:type="dxa"/>
            <w:vAlign w:val="bottom"/>
          </w:tcPr>
          <w:p>
            <w:pPr>
              <w:spacing w:after="0"/>
              <w:rPr>
                <w:sz w:val="1"/>
                <w:szCs w:val="1"/>
                <w:color w:val="auto"/>
              </w:rPr>
            </w:pPr>
          </w:p>
        </w:tc>
      </w:tr>
      <w:tr>
        <w:trPr>
          <w:trHeight w:val="190"/>
        </w:trPr>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Deka Container Carrier S.A.</w:t>
            </w:r>
          </w:p>
        </w:tc>
        <w:tc>
          <w:tcPr>
            <w:tcW w:w="140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03/28/2017</w:t>
            </w:r>
          </w:p>
        </w:tc>
        <w:tc>
          <w:tcPr>
            <w:tcW w:w="302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3"/>
                <w:szCs w:val="13"/>
                <w:color w:val="auto"/>
                <w:w w:val="97"/>
              </w:rPr>
              <w:t>M/V Athenian</w:t>
            </w:r>
            <w:r>
              <w:rPr>
                <w:rFonts w:ascii="Times New Roman" w:cs="Times New Roman" w:eastAsia="Times New Roman" w:hAnsi="Times New Roman"/>
                <w:sz w:val="21"/>
                <w:szCs w:val="21"/>
                <w:color w:val="auto"/>
                <w:w w:val="97"/>
                <w:vertAlign w:val="superscript"/>
              </w:rPr>
              <w:t>(2)</w:t>
            </w:r>
          </w:p>
        </w:tc>
        <w:tc>
          <w:tcPr>
            <w:tcW w:w="122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w w:val="99"/>
              </w:rPr>
              <w:t>118,834</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01/22/2020</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04/28/2017</w:t>
            </w:r>
          </w:p>
        </w:tc>
        <w:tc>
          <w:tcPr>
            <w:tcW w:w="0" w:type="dxa"/>
            <w:vAlign w:val="bottom"/>
          </w:tcPr>
          <w:p>
            <w:pPr>
              <w:spacing w:after="0"/>
              <w:rPr>
                <w:sz w:val="1"/>
                <w:szCs w:val="1"/>
                <w:color w:val="auto"/>
              </w:rPr>
            </w:pPr>
          </w:p>
        </w:tc>
      </w:tr>
      <w:tr>
        <w:trPr>
          <w:trHeight w:val="190"/>
        </w:trPr>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Jupiter Container Carrier S.A.</w:t>
            </w:r>
          </w:p>
        </w:tc>
        <w:tc>
          <w:tcPr>
            <w:tcW w:w="140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03/28/2017</w:t>
            </w:r>
          </w:p>
        </w:tc>
        <w:tc>
          <w:tcPr>
            <w:tcW w:w="3020" w:type="dxa"/>
            <w:vAlign w:val="bottom"/>
          </w:tcPr>
          <w:p>
            <w:pPr>
              <w:jc w:val="center"/>
              <w:spacing w:after="0" w:line="190" w:lineRule="exact"/>
              <w:rPr>
                <w:sz w:val="20"/>
                <w:szCs w:val="20"/>
                <w:color w:val="auto"/>
              </w:rPr>
            </w:pPr>
            <w:r>
              <w:rPr>
                <w:rFonts w:ascii="Times New Roman" w:cs="Times New Roman" w:eastAsia="Times New Roman" w:hAnsi="Times New Roman"/>
                <w:sz w:val="13"/>
                <w:szCs w:val="13"/>
                <w:color w:val="auto"/>
                <w:w w:val="98"/>
              </w:rPr>
              <w:t>M/V Athos</w:t>
            </w:r>
            <w:r>
              <w:rPr>
                <w:rFonts w:ascii="Times New Roman" w:cs="Times New Roman" w:eastAsia="Times New Roman" w:hAnsi="Times New Roman"/>
                <w:sz w:val="21"/>
                <w:szCs w:val="21"/>
                <w:color w:val="auto"/>
                <w:w w:val="98"/>
                <w:vertAlign w:val="superscript"/>
              </w:rPr>
              <w:t>(2)</w:t>
            </w:r>
          </w:p>
        </w:tc>
        <w:tc>
          <w:tcPr>
            <w:tcW w:w="1220" w:type="dxa"/>
            <w:vAlign w:val="bottom"/>
          </w:tcPr>
          <w:p>
            <w:pPr>
              <w:jc w:val="center"/>
              <w:ind w:left="93"/>
              <w:spacing w:after="0"/>
              <w:rPr>
                <w:sz w:val="20"/>
                <w:szCs w:val="20"/>
                <w:color w:val="auto"/>
              </w:rPr>
            </w:pPr>
            <w:r>
              <w:rPr>
                <w:rFonts w:ascii="Times New Roman" w:cs="Times New Roman" w:eastAsia="Times New Roman" w:hAnsi="Times New Roman"/>
                <w:sz w:val="13"/>
                <w:szCs w:val="13"/>
                <w:color w:val="auto"/>
                <w:w w:val="99"/>
              </w:rPr>
              <w:t>118,888</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01/23/2020</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05/19/2017</w:t>
            </w:r>
          </w:p>
        </w:tc>
        <w:tc>
          <w:tcPr>
            <w:tcW w:w="0" w:type="dxa"/>
            <w:vAlign w:val="bottom"/>
          </w:tcPr>
          <w:p>
            <w:pPr>
              <w:spacing w:after="0"/>
              <w:rPr>
                <w:sz w:val="1"/>
                <w:szCs w:val="1"/>
                <w:color w:val="auto"/>
              </w:rPr>
            </w:pPr>
          </w:p>
        </w:tc>
      </w:tr>
      <w:tr>
        <w:trPr>
          <w:trHeight w:val="190"/>
        </w:trPr>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Nikitis Container Carrier S.A.</w:t>
            </w:r>
          </w:p>
        </w:tc>
        <w:tc>
          <w:tcPr>
            <w:tcW w:w="140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03/28/2017</w:t>
            </w:r>
          </w:p>
        </w:tc>
        <w:tc>
          <w:tcPr>
            <w:tcW w:w="302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3"/>
                <w:szCs w:val="13"/>
                <w:color w:val="auto"/>
                <w:w w:val="98"/>
              </w:rPr>
              <w:t>M/V Aristomenis</w:t>
            </w:r>
            <w:r>
              <w:rPr>
                <w:rFonts w:ascii="Times New Roman" w:cs="Times New Roman" w:eastAsia="Times New Roman" w:hAnsi="Times New Roman"/>
                <w:sz w:val="21"/>
                <w:szCs w:val="21"/>
                <w:color w:val="auto"/>
                <w:w w:val="98"/>
                <w:vertAlign w:val="superscript"/>
              </w:rPr>
              <w:t>(2)</w:t>
            </w:r>
          </w:p>
        </w:tc>
        <w:tc>
          <w:tcPr>
            <w:tcW w:w="122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w w:val="99"/>
              </w:rPr>
              <w:t>118,712</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01/23/2020</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06/27/2017</w:t>
            </w:r>
          </w:p>
        </w:tc>
        <w:tc>
          <w:tcPr>
            <w:tcW w:w="0" w:type="dxa"/>
            <w:vAlign w:val="bottom"/>
          </w:tcPr>
          <w:p>
            <w:pPr>
              <w:spacing w:after="0"/>
              <w:rPr>
                <w:sz w:val="1"/>
                <w:szCs w:val="1"/>
                <w:color w:val="auto"/>
              </w:rPr>
            </w:pPr>
          </w:p>
        </w:tc>
      </w:tr>
      <w:tr>
        <w:trPr>
          <w:trHeight w:val="190"/>
        </w:trPr>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Neos Container Carriers Corp.</w:t>
            </w:r>
          </w:p>
        </w:tc>
        <w:tc>
          <w:tcPr>
            <w:tcW w:w="140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09/04/2020</w:t>
            </w:r>
          </w:p>
        </w:tc>
        <w:tc>
          <w:tcPr>
            <w:tcW w:w="3020" w:type="dxa"/>
            <w:vAlign w:val="bottom"/>
          </w:tcPr>
          <w:p>
            <w:pPr>
              <w:jc w:val="center"/>
              <w:spacing w:after="0" w:line="190" w:lineRule="exact"/>
              <w:rPr>
                <w:sz w:val="20"/>
                <w:szCs w:val="20"/>
                <w:color w:val="auto"/>
              </w:rPr>
            </w:pPr>
            <w:r>
              <w:rPr>
                <w:rFonts w:ascii="Times New Roman" w:cs="Times New Roman" w:eastAsia="Times New Roman" w:hAnsi="Times New Roman"/>
                <w:sz w:val="13"/>
                <w:szCs w:val="13"/>
                <w:color w:val="auto"/>
                <w:w w:val="98"/>
              </w:rPr>
              <w:t>M/V Long Beach Express</w:t>
            </w:r>
            <w:r>
              <w:rPr>
                <w:rFonts w:ascii="Times New Roman" w:cs="Times New Roman" w:eastAsia="Times New Roman" w:hAnsi="Times New Roman"/>
                <w:sz w:val="21"/>
                <w:szCs w:val="21"/>
                <w:color w:val="auto"/>
                <w:w w:val="98"/>
                <w:vertAlign w:val="superscript"/>
              </w:rPr>
              <w:t>(2)</w:t>
            </w:r>
          </w:p>
        </w:tc>
        <w:tc>
          <w:tcPr>
            <w:tcW w:w="1220" w:type="dxa"/>
            <w:vAlign w:val="bottom"/>
          </w:tcPr>
          <w:p>
            <w:pPr>
              <w:jc w:val="center"/>
              <w:ind w:left="93"/>
              <w:spacing w:after="0"/>
              <w:rPr>
                <w:sz w:val="20"/>
                <w:szCs w:val="20"/>
                <w:color w:val="auto"/>
              </w:rPr>
            </w:pPr>
            <w:r>
              <w:rPr>
                <w:rFonts w:ascii="Times New Roman" w:cs="Times New Roman" w:eastAsia="Times New Roman" w:hAnsi="Times New Roman"/>
                <w:sz w:val="13"/>
                <w:szCs w:val="13"/>
                <w:color w:val="auto"/>
              </w:rPr>
              <w:t>68,618</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02/25/2021</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01/07/2021</w:t>
            </w:r>
          </w:p>
        </w:tc>
        <w:tc>
          <w:tcPr>
            <w:tcW w:w="0" w:type="dxa"/>
            <w:vAlign w:val="bottom"/>
          </w:tcPr>
          <w:p>
            <w:pPr>
              <w:spacing w:after="0"/>
              <w:rPr>
                <w:sz w:val="1"/>
                <w:szCs w:val="1"/>
                <w:color w:val="auto"/>
              </w:rPr>
            </w:pPr>
          </w:p>
        </w:tc>
      </w:tr>
      <w:tr>
        <w:trPr>
          <w:trHeight w:val="190"/>
        </w:trPr>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Maistros Container Carriers Corp.</w:t>
            </w:r>
          </w:p>
        </w:tc>
        <w:tc>
          <w:tcPr>
            <w:tcW w:w="140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09/04/2020</w:t>
            </w:r>
          </w:p>
        </w:tc>
        <w:tc>
          <w:tcPr>
            <w:tcW w:w="302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3"/>
                <w:szCs w:val="13"/>
                <w:color w:val="auto"/>
                <w:w w:val="98"/>
              </w:rPr>
              <w:t>M/V Seattle Express</w:t>
            </w:r>
            <w:r>
              <w:rPr>
                <w:rFonts w:ascii="Times New Roman" w:cs="Times New Roman" w:eastAsia="Times New Roman" w:hAnsi="Times New Roman"/>
                <w:sz w:val="21"/>
                <w:szCs w:val="21"/>
                <w:color w:val="auto"/>
                <w:w w:val="98"/>
                <w:vertAlign w:val="superscript"/>
              </w:rPr>
              <w:t>(2)</w:t>
            </w:r>
          </w:p>
        </w:tc>
        <w:tc>
          <w:tcPr>
            <w:tcW w:w="122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rPr>
              <w:t>68,411</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02/25/2021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01/07/2021</w:t>
            </w:r>
          </w:p>
        </w:tc>
        <w:tc>
          <w:tcPr>
            <w:tcW w:w="0" w:type="dxa"/>
            <w:vAlign w:val="bottom"/>
          </w:tcPr>
          <w:p>
            <w:pPr>
              <w:spacing w:after="0"/>
              <w:rPr>
                <w:sz w:val="1"/>
                <w:szCs w:val="1"/>
                <w:color w:val="auto"/>
              </w:rPr>
            </w:pPr>
          </w:p>
        </w:tc>
      </w:tr>
      <w:tr>
        <w:trPr>
          <w:trHeight w:val="190"/>
        </w:trPr>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Filos Container Carriers Corp.</w:t>
            </w:r>
          </w:p>
        </w:tc>
        <w:tc>
          <w:tcPr>
            <w:tcW w:w="140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09/04/2020</w:t>
            </w:r>
          </w:p>
        </w:tc>
        <w:tc>
          <w:tcPr>
            <w:tcW w:w="3020" w:type="dxa"/>
            <w:vAlign w:val="bottom"/>
          </w:tcPr>
          <w:p>
            <w:pPr>
              <w:jc w:val="center"/>
              <w:spacing w:after="0" w:line="190" w:lineRule="exact"/>
              <w:rPr>
                <w:sz w:val="20"/>
                <w:szCs w:val="20"/>
                <w:color w:val="auto"/>
              </w:rPr>
            </w:pPr>
            <w:r>
              <w:rPr>
                <w:rFonts w:ascii="Times New Roman" w:cs="Times New Roman" w:eastAsia="Times New Roman" w:hAnsi="Times New Roman"/>
                <w:sz w:val="13"/>
                <w:szCs w:val="13"/>
                <w:color w:val="auto"/>
                <w:w w:val="98"/>
              </w:rPr>
              <w:t>M/V Fos Express</w:t>
            </w:r>
            <w:r>
              <w:rPr>
                <w:rFonts w:ascii="Times New Roman" w:cs="Times New Roman" w:eastAsia="Times New Roman" w:hAnsi="Times New Roman"/>
                <w:sz w:val="21"/>
                <w:szCs w:val="21"/>
                <w:color w:val="auto"/>
                <w:w w:val="98"/>
                <w:vertAlign w:val="superscript"/>
              </w:rPr>
              <w:t>(2)</w:t>
            </w:r>
          </w:p>
        </w:tc>
        <w:tc>
          <w:tcPr>
            <w:tcW w:w="1220" w:type="dxa"/>
            <w:vAlign w:val="bottom"/>
          </w:tcPr>
          <w:p>
            <w:pPr>
              <w:jc w:val="center"/>
              <w:ind w:left="93"/>
              <w:spacing w:after="0"/>
              <w:rPr>
                <w:sz w:val="20"/>
                <w:szCs w:val="20"/>
                <w:color w:val="auto"/>
              </w:rPr>
            </w:pPr>
            <w:r>
              <w:rPr>
                <w:rFonts w:ascii="Times New Roman" w:cs="Times New Roman" w:eastAsia="Times New Roman" w:hAnsi="Times New Roman"/>
                <w:sz w:val="13"/>
                <w:szCs w:val="13"/>
                <w:color w:val="auto"/>
              </w:rPr>
              <w:t>68,579</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02/25/2021</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01/07/2021</w:t>
            </w:r>
          </w:p>
        </w:tc>
        <w:tc>
          <w:tcPr>
            <w:tcW w:w="0" w:type="dxa"/>
            <w:vAlign w:val="bottom"/>
          </w:tcPr>
          <w:p>
            <w:pPr>
              <w:spacing w:after="0"/>
              <w:rPr>
                <w:sz w:val="1"/>
                <w:szCs w:val="1"/>
                <w:color w:val="auto"/>
              </w:rPr>
            </w:pPr>
          </w:p>
        </w:tc>
      </w:tr>
      <w:tr>
        <w:trPr>
          <w:trHeight w:val="190"/>
        </w:trPr>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Panormos Container Carrier S.A.</w:t>
            </w:r>
          </w:p>
        </w:tc>
        <w:tc>
          <w:tcPr>
            <w:tcW w:w="140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12/17/2020</w:t>
            </w:r>
          </w:p>
        </w:tc>
        <w:tc>
          <w:tcPr>
            <w:tcW w:w="302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3"/>
                <w:szCs w:val="13"/>
                <w:color w:val="auto"/>
                <w:w w:val="98"/>
              </w:rPr>
              <w:t>M/V Manzanillo Express</w:t>
            </w:r>
            <w:r>
              <w:rPr>
                <w:rFonts w:ascii="Times New Roman" w:cs="Times New Roman" w:eastAsia="Times New Roman" w:hAnsi="Times New Roman"/>
                <w:sz w:val="21"/>
                <w:szCs w:val="21"/>
                <w:color w:val="auto"/>
                <w:w w:val="98"/>
                <w:vertAlign w:val="superscript"/>
              </w:rPr>
              <w:t>(1)</w:t>
            </w:r>
          </w:p>
        </w:tc>
        <w:tc>
          <w:tcPr>
            <w:tcW w:w="122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w w:val="99"/>
              </w:rPr>
              <w:t>142,411</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10/12/2022</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10/12/2022</w:t>
            </w:r>
          </w:p>
        </w:tc>
        <w:tc>
          <w:tcPr>
            <w:tcW w:w="0" w:type="dxa"/>
            <w:vAlign w:val="bottom"/>
          </w:tcPr>
          <w:p>
            <w:pPr>
              <w:spacing w:after="0"/>
              <w:rPr>
                <w:sz w:val="1"/>
                <w:szCs w:val="1"/>
                <w:color w:val="auto"/>
              </w:rPr>
            </w:pPr>
          </w:p>
        </w:tc>
      </w:tr>
      <w:tr>
        <w:trPr>
          <w:trHeight w:val="160"/>
        </w:trPr>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Ektoras Container Carrier S.A.</w:t>
            </w:r>
          </w:p>
        </w:tc>
        <w:tc>
          <w:tcPr>
            <w:tcW w:w="140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12/17/2020</w:t>
            </w:r>
          </w:p>
        </w:tc>
        <w:tc>
          <w:tcPr>
            <w:tcW w:w="3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M/V Itajai Express</w:t>
            </w:r>
          </w:p>
        </w:tc>
        <w:tc>
          <w:tcPr>
            <w:tcW w:w="1220" w:type="dxa"/>
            <w:vAlign w:val="bottom"/>
          </w:tcPr>
          <w:p>
            <w:pPr>
              <w:jc w:val="center"/>
              <w:ind w:left="93"/>
              <w:spacing w:after="0"/>
              <w:rPr>
                <w:sz w:val="20"/>
                <w:szCs w:val="20"/>
                <w:color w:val="auto"/>
              </w:rPr>
            </w:pPr>
            <w:r>
              <w:rPr>
                <w:rFonts w:ascii="Times New Roman" w:cs="Times New Roman" w:eastAsia="Times New Roman" w:hAnsi="Times New Roman"/>
                <w:sz w:val="13"/>
                <w:szCs w:val="13"/>
                <w:color w:val="auto"/>
                <w:w w:val="99"/>
              </w:rPr>
              <w:t>142,411</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01/10/2023</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01/10/2023</w:t>
            </w:r>
          </w:p>
        </w:tc>
        <w:tc>
          <w:tcPr>
            <w:tcW w:w="0" w:type="dxa"/>
            <w:vAlign w:val="bottom"/>
          </w:tcPr>
          <w:p>
            <w:pPr>
              <w:spacing w:after="0"/>
              <w:rPr>
                <w:sz w:val="1"/>
                <w:szCs w:val="1"/>
                <w:color w:val="auto"/>
              </w:rPr>
            </w:pPr>
          </w:p>
        </w:tc>
      </w:tr>
      <w:tr>
        <w:trPr>
          <w:trHeight w:val="190"/>
        </w:trPr>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Monos Container Carrier S.A.</w:t>
            </w:r>
          </w:p>
        </w:tc>
        <w:tc>
          <w:tcPr>
            <w:tcW w:w="140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02/05/2021</w:t>
            </w:r>
          </w:p>
        </w:tc>
        <w:tc>
          <w:tcPr>
            <w:tcW w:w="302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3"/>
                <w:szCs w:val="13"/>
                <w:color w:val="auto"/>
              </w:rPr>
              <w:t>M/V Buenaventura Express</w:t>
            </w:r>
            <w:r>
              <w:rPr>
                <w:rFonts w:ascii="Times New Roman" w:cs="Times New Roman" w:eastAsia="Times New Roman" w:hAnsi="Times New Roman"/>
                <w:sz w:val="21"/>
                <w:szCs w:val="21"/>
                <w:color w:val="auto"/>
                <w:vertAlign w:val="superscript"/>
              </w:rPr>
              <w:t>(4)</w:t>
            </w:r>
          </w:p>
        </w:tc>
        <w:tc>
          <w:tcPr>
            <w:tcW w:w="122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w w:val="99"/>
              </w:rPr>
              <w:t>142,411</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06/20/2023</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06/20/2023</w:t>
            </w:r>
          </w:p>
        </w:tc>
        <w:tc>
          <w:tcPr>
            <w:tcW w:w="0" w:type="dxa"/>
            <w:vAlign w:val="bottom"/>
          </w:tcPr>
          <w:p>
            <w:pPr>
              <w:spacing w:after="0"/>
              <w:rPr>
                <w:sz w:val="1"/>
                <w:szCs w:val="1"/>
                <w:color w:val="auto"/>
              </w:rPr>
            </w:pPr>
          </w:p>
        </w:tc>
      </w:tr>
      <w:tr>
        <w:trPr>
          <w:trHeight w:val="160"/>
        </w:trPr>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Assos Gas Carrier Corp.</w:t>
            </w:r>
          </w:p>
        </w:tc>
        <w:tc>
          <w:tcPr>
            <w:tcW w:w="140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07/16/2018</w:t>
            </w:r>
          </w:p>
        </w:tc>
        <w:tc>
          <w:tcPr>
            <w:tcW w:w="3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LNG/C Aristos I</w:t>
            </w:r>
          </w:p>
        </w:tc>
        <w:tc>
          <w:tcPr>
            <w:tcW w:w="1220" w:type="dxa"/>
            <w:vAlign w:val="bottom"/>
          </w:tcPr>
          <w:p>
            <w:pPr>
              <w:jc w:val="center"/>
              <w:ind w:left="93"/>
              <w:spacing w:after="0"/>
              <w:rPr>
                <w:sz w:val="20"/>
                <w:szCs w:val="20"/>
                <w:color w:val="auto"/>
              </w:rPr>
            </w:pPr>
            <w:r>
              <w:rPr>
                <w:rFonts w:ascii="Times New Roman" w:cs="Times New Roman" w:eastAsia="Times New Roman" w:hAnsi="Times New Roman"/>
                <w:sz w:val="13"/>
                <w:szCs w:val="13"/>
                <w:color w:val="auto"/>
              </w:rPr>
              <w:t>81,978</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09/03/2021</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11/12/2020</w:t>
            </w:r>
          </w:p>
        </w:tc>
        <w:tc>
          <w:tcPr>
            <w:tcW w:w="0" w:type="dxa"/>
            <w:vAlign w:val="bottom"/>
          </w:tcPr>
          <w:p>
            <w:pPr>
              <w:spacing w:after="0"/>
              <w:rPr>
                <w:sz w:val="1"/>
                <w:szCs w:val="1"/>
                <w:color w:val="auto"/>
              </w:rPr>
            </w:pPr>
          </w:p>
        </w:tc>
      </w:tr>
      <w:tr>
        <w:trPr>
          <w:trHeight w:val="160"/>
        </w:trPr>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Dias Gas Carrier Corp.</w:t>
            </w:r>
          </w:p>
        </w:tc>
        <w:tc>
          <w:tcPr>
            <w:tcW w:w="140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07/16/2018</w:t>
            </w:r>
          </w:p>
        </w:tc>
        <w:tc>
          <w:tcPr>
            <w:tcW w:w="3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LNG/C Aristarchos</w:t>
            </w:r>
          </w:p>
        </w:tc>
        <w:tc>
          <w:tcPr>
            <w:tcW w:w="122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rPr>
              <w:t>81,956</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09/03/2021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06/15/2021</w:t>
            </w:r>
          </w:p>
        </w:tc>
        <w:tc>
          <w:tcPr>
            <w:tcW w:w="0" w:type="dxa"/>
            <w:vAlign w:val="bottom"/>
          </w:tcPr>
          <w:p>
            <w:pPr>
              <w:spacing w:after="0"/>
              <w:rPr>
                <w:sz w:val="1"/>
                <w:szCs w:val="1"/>
                <w:color w:val="auto"/>
              </w:rPr>
            </w:pPr>
          </w:p>
        </w:tc>
      </w:tr>
      <w:tr>
        <w:trPr>
          <w:trHeight w:val="160"/>
        </w:trPr>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Atrotos Gas Carrier Corp.</w:t>
            </w:r>
          </w:p>
        </w:tc>
        <w:tc>
          <w:tcPr>
            <w:tcW w:w="140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07/16/2018</w:t>
            </w:r>
          </w:p>
        </w:tc>
        <w:tc>
          <w:tcPr>
            <w:tcW w:w="3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LNG/C Aristidis I</w:t>
            </w:r>
          </w:p>
        </w:tc>
        <w:tc>
          <w:tcPr>
            <w:tcW w:w="1220" w:type="dxa"/>
            <w:vAlign w:val="bottom"/>
          </w:tcPr>
          <w:p>
            <w:pPr>
              <w:jc w:val="center"/>
              <w:ind w:left="93"/>
              <w:spacing w:after="0"/>
              <w:rPr>
                <w:sz w:val="20"/>
                <w:szCs w:val="20"/>
                <w:color w:val="auto"/>
              </w:rPr>
            </w:pPr>
            <w:r>
              <w:rPr>
                <w:rFonts w:ascii="Times New Roman" w:cs="Times New Roman" w:eastAsia="Times New Roman" w:hAnsi="Times New Roman"/>
                <w:sz w:val="13"/>
                <w:szCs w:val="13"/>
                <w:color w:val="auto"/>
              </w:rPr>
              <w:t>81,898</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12/16/2021</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01/04/2021</w:t>
            </w:r>
          </w:p>
        </w:tc>
        <w:tc>
          <w:tcPr>
            <w:tcW w:w="0" w:type="dxa"/>
            <w:vAlign w:val="bottom"/>
          </w:tcPr>
          <w:p>
            <w:pPr>
              <w:spacing w:after="0"/>
              <w:rPr>
                <w:sz w:val="1"/>
                <w:szCs w:val="1"/>
                <w:color w:val="auto"/>
              </w:rPr>
            </w:pPr>
          </w:p>
        </w:tc>
      </w:tr>
      <w:tr>
        <w:trPr>
          <w:trHeight w:val="160"/>
        </w:trPr>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Poseidon Gas Carrier Corp.</w:t>
            </w:r>
          </w:p>
        </w:tc>
        <w:tc>
          <w:tcPr>
            <w:tcW w:w="140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07/16/2018</w:t>
            </w:r>
          </w:p>
        </w:tc>
        <w:tc>
          <w:tcPr>
            <w:tcW w:w="3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LNG/C Attalos</w:t>
            </w:r>
          </w:p>
        </w:tc>
        <w:tc>
          <w:tcPr>
            <w:tcW w:w="122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rPr>
              <w:t>81,850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11/18/2021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08/13/2021</w:t>
            </w:r>
          </w:p>
        </w:tc>
        <w:tc>
          <w:tcPr>
            <w:tcW w:w="0" w:type="dxa"/>
            <w:vAlign w:val="bottom"/>
          </w:tcPr>
          <w:p>
            <w:pPr>
              <w:spacing w:after="0"/>
              <w:rPr>
                <w:sz w:val="1"/>
                <w:szCs w:val="1"/>
                <w:color w:val="auto"/>
              </w:rPr>
            </w:pPr>
          </w:p>
        </w:tc>
      </w:tr>
      <w:tr>
        <w:trPr>
          <w:trHeight w:val="160"/>
        </w:trPr>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Maximus Gas Carrier Corp.</w:t>
            </w:r>
          </w:p>
        </w:tc>
        <w:tc>
          <w:tcPr>
            <w:tcW w:w="140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04/10/2019</w:t>
            </w:r>
          </w:p>
        </w:tc>
        <w:tc>
          <w:tcPr>
            <w:tcW w:w="3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LNG/C Asklipios</w:t>
            </w:r>
          </w:p>
        </w:tc>
        <w:tc>
          <w:tcPr>
            <w:tcW w:w="1220" w:type="dxa"/>
            <w:vAlign w:val="bottom"/>
          </w:tcPr>
          <w:p>
            <w:pPr>
              <w:jc w:val="center"/>
              <w:ind w:left="93"/>
              <w:spacing w:after="0"/>
              <w:rPr>
                <w:sz w:val="20"/>
                <w:szCs w:val="20"/>
                <w:color w:val="auto"/>
              </w:rPr>
            </w:pPr>
            <w:r>
              <w:rPr>
                <w:rFonts w:ascii="Times New Roman" w:cs="Times New Roman" w:eastAsia="Times New Roman" w:hAnsi="Times New Roman"/>
                <w:sz w:val="13"/>
                <w:szCs w:val="13"/>
                <w:color w:val="auto"/>
              </w:rPr>
              <w:t>81,882</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11/18/2021</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09/29/2021</w:t>
            </w:r>
          </w:p>
        </w:tc>
        <w:tc>
          <w:tcPr>
            <w:tcW w:w="0" w:type="dxa"/>
            <w:vAlign w:val="bottom"/>
          </w:tcPr>
          <w:p>
            <w:pPr>
              <w:spacing w:after="0"/>
              <w:rPr>
                <w:sz w:val="1"/>
                <w:szCs w:val="1"/>
                <w:color w:val="auto"/>
              </w:rPr>
            </w:pPr>
          </w:p>
        </w:tc>
      </w:tr>
      <w:tr>
        <w:trPr>
          <w:trHeight w:val="160"/>
        </w:trPr>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Kronos Gas Carrier Corp.</w:t>
            </w:r>
          </w:p>
        </w:tc>
        <w:tc>
          <w:tcPr>
            <w:tcW w:w="140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02/04/2019</w:t>
            </w:r>
          </w:p>
        </w:tc>
        <w:tc>
          <w:tcPr>
            <w:tcW w:w="3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LNG/C Adamastos</w:t>
            </w:r>
          </w:p>
        </w:tc>
        <w:tc>
          <w:tcPr>
            <w:tcW w:w="122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rPr>
              <w:t>82,095</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11/29/2021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08/23/2021</w:t>
            </w:r>
          </w:p>
        </w:tc>
        <w:tc>
          <w:tcPr>
            <w:tcW w:w="0" w:type="dxa"/>
            <w:vAlign w:val="bottom"/>
          </w:tcPr>
          <w:p>
            <w:pPr>
              <w:spacing w:after="0"/>
              <w:rPr>
                <w:sz w:val="1"/>
                <w:szCs w:val="1"/>
                <w:color w:val="auto"/>
              </w:rPr>
            </w:pPr>
          </w:p>
        </w:tc>
      </w:tr>
      <w:tr>
        <w:trPr>
          <w:trHeight w:val="160"/>
        </w:trPr>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Hermes Gas Carrier Corp.</w:t>
            </w:r>
          </w:p>
        </w:tc>
        <w:tc>
          <w:tcPr>
            <w:tcW w:w="140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07/05/2019</w:t>
            </w:r>
          </w:p>
        </w:tc>
        <w:tc>
          <w:tcPr>
            <w:tcW w:w="3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LNG/C Asterix I</w:t>
            </w:r>
          </w:p>
        </w:tc>
        <w:tc>
          <w:tcPr>
            <w:tcW w:w="1220" w:type="dxa"/>
            <w:vAlign w:val="bottom"/>
          </w:tcPr>
          <w:p>
            <w:pPr>
              <w:jc w:val="center"/>
              <w:ind w:left="93"/>
              <w:spacing w:after="0"/>
              <w:rPr>
                <w:sz w:val="20"/>
                <w:szCs w:val="20"/>
                <w:color w:val="auto"/>
              </w:rPr>
            </w:pPr>
            <w:r>
              <w:rPr>
                <w:rFonts w:ascii="Times New Roman" w:cs="Times New Roman" w:eastAsia="Times New Roman" w:hAnsi="Times New Roman"/>
                <w:sz w:val="13"/>
                <w:szCs w:val="13"/>
                <w:color w:val="auto"/>
              </w:rPr>
              <w:t>81,932</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02/17/2023</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02/17/2023</w:t>
            </w:r>
          </w:p>
        </w:tc>
        <w:tc>
          <w:tcPr>
            <w:tcW w:w="0" w:type="dxa"/>
            <w:vAlign w:val="bottom"/>
          </w:tcPr>
          <w:p>
            <w:pPr>
              <w:spacing w:after="0"/>
              <w:rPr>
                <w:sz w:val="1"/>
                <w:szCs w:val="1"/>
                <w:color w:val="auto"/>
              </w:rPr>
            </w:pPr>
          </w:p>
        </w:tc>
      </w:tr>
      <w:tr>
        <w:trPr>
          <w:trHeight w:val="160"/>
        </w:trPr>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Omega Gas Carriers Corp.</w:t>
            </w:r>
          </w:p>
        </w:tc>
        <w:tc>
          <w:tcPr>
            <w:tcW w:w="140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06/18/2021</w:t>
            </w:r>
          </w:p>
        </w:tc>
        <w:tc>
          <w:tcPr>
            <w:tcW w:w="3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LNG/C Amore Mio I</w:t>
            </w:r>
          </w:p>
        </w:tc>
        <w:tc>
          <w:tcPr>
            <w:tcW w:w="122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rPr>
              <w:t>82,076</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12/21/2023</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10/31/2023</w:t>
            </w:r>
          </w:p>
        </w:tc>
        <w:tc>
          <w:tcPr>
            <w:tcW w:w="0" w:type="dxa"/>
            <w:vAlign w:val="bottom"/>
          </w:tcPr>
          <w:p>
            <w:pPr>
              <w:spacing w:after="0"/>
              <w:rPr>
                <w:sz w:val="1"/>
                <w:szCs w:val="1"/>
                <w:color w:val="auto"/>
              </w:rPr>
            </w:pPr>
          </w:p>
        </w:tc>
      </w:tr>
      <w:tr>
        <w:trPr>
          <w:trHeight w:val="160"/>
        </w:trPr>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Beta Gas Carriers Corp.</w:t>
            </w:r>
          </w:p>
        </w:tc>
        <w:tc>
          <w:tcPr>
            <w:tcW w:w="140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06/18/2021</w:t>
            </w:r>
          </w:p>
        </w:tc>
        <w:tc>
          <w:tcPr>
            <w:tcW w:w="3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LNG/C Axios II</w:t>
            </w:r>
          </w:p>
        </w:tc>
        <w:tc>
          <w:tcPr>
            <w:tcW w:w="1220" w:type="dxa"/>
            <w:vAlign w:val="bottom"/>
          </w:tcPr>
          <w:p>
            <w:pPr>
              <w:jc w:val="center"/>
              <w:ind w:left="93"/>
              <w:spacing w:after="0"/>
              <w:rPr>
                <w:sz w:val="20"/>
                <w:szCs w:val="20"/>
                <w:color w:val="auto"/>
              </w:rPr>
            </w:pPr>
            <w:r>
              <w:rPr>
                <w:rFonts w:ascii="Times New Roman" w:cs="Times New Roman" w:eastAsia="Times New Roman" w:hAnsi="Times New Roman"/>
                <w:sz w:val="13"/>
                <w:szCs w:val="13"/>
                <w:color w:val="auto"/>
              </w:rPr>
              <w:t>82,271</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01/02/2024</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01/02/2024</w:t>
            </w:r>
          </w:p>
        </w:tc>
        <w:tc>
          <w:tcPr>
            <w:tcW w:w="0" w:type="dxa"/>
            <w:vAlign w:val="bottom"/>
          </w:tcPr>
          <w:p>
            <w:pPr>
              <w:spacing w:after="0"/>
              <w:rPr>
                <w:sz w:val="1"/>
                <w:szCs w:val="1"/>
                <w:color w:val="auto"/>
              </w:rPr>
            </w:pPr>
          </w:p>
        </w:tc>
      </w:tr>
      <w:tr>
        <w:trPr>
          <w:trHeight w:val="160"/>
        </w:trPr>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Romanos Gas Carrier Corp.</w:t>
            </w:r>
          </w:p>
        </w:tc>
        <w:tc>
          <w:tcPr>
            <w:tcW w:w="140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3"/>
                <w:szCs w:val="13"/>
                <w:color w:val="auto"/>
              </w:rPr>
              <w:t>11/01/2021</w:t>
            </w:r>
          </w:p>
        </w:tc>
        <w:tc>
          <w:tcPr>
            <w:tcW w:w="3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LNG/C Assos</w:t>
            </w:r>
          </w:p>
        </w:tc>
        <w:tc>
          <w:tcPr>
            <w:tcW w:w="122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rPr>
              <w:t>82,306</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05/31/2024</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05/31/2024</w:t>
            </w:r>
          </w:p>
        </w:tc>
        <w:tc>
          <w:tcPr>
            <w:tcW w:w="0" w:type="dxa"/>
            <w:vAlign w:val="bottom"/>
          </w:tcPr>
          <w:p>
            <w:pPr>
              <w:spacing w:after="0"/>
              <w:rPr>
                <w:sz w:val="1"/>
                <w:szCs w:val="1"/>
                <w:color w:val="auto"/>
              </w:rPr>
            </w:pPr>
          </w:p>
        </w:tc>
      </w:tr>
      <w:tr>
        <w:trPr>
          <w:trHeight w:val="160"/>
        </w:trPr>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Leon Gas Carrier Corp.</w:t>
            </w:r>
          </w:p>
        </w:tc>
        <w:tc>
          <w:tcPr>
            <w:tcW w:w="140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auto"/>
              </w:rPr>
              <w:t>11/01/2021</w:t>
            </w:r>
          </w:p>
        </w:tc>
        <w:tc>
          <w:tcPr>
            <w:tcW w:w="3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LNG/C Apostolos</w:t>
            </w:r>
          </w:p>
        </w:tc>
        <w:tc>
          <w:tcPr>
            <w:tcW w:w="1220" w:type="dxa"/>
            <w:vAlign w:val="bottom"/>
          </w:tcPr>
          <w:p>
            <w:pPr>
              <w:jc w:val="center"/>
              <w:ind w:left="93"/>
              <w:spacing w:after="0"/>
              <w:rPr>
                <w:sz w:val="20"/>
                <w:szCs w:val="20"/>
                <w:color w:val="auto"/>
              </w:rPr>
            </w:pPr>
            <w:r>
              <w:rPr>
                <w:rFonts w:ascii="Times New Roman" w:cs="Times New Roman" w:eastAsia="Times New Roman" w:hAnsi="Times New Roman"/>
                <w:sz w:val="13"/>
                <w:szCs w:val="13"/>
                <w:color w:val="auto"/>
              </w:rPr>
              <w:t>82,068</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06/05/2024</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06/05/2024</w:t>
            </w:r>
          </w:p>
        </w:tc>
        <w:tc>
          <w:tcPr>
            <w:tcW w:w="0" w:type="dxa"/>
            <w:vAlign w:val="bottom"/>
          </w:tcPr>
          <w:p>
            <w:pPr>
              <w:spacing w:after="0"/>
              <w:rPr>
                <w:sz w:val="1"/>
                <w:szCs w:val="1"/>
                <w:color w:val="auto"/>
              </w:rPr>
            </w:pPr>
          </w:p>
        </w:tc>
      </w:tr>
      <w:tr>
        <w:trPr>
          <w:trHeight w:val="160"/>
        </w:trPr>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Taurus Gas Carrier Corp.</w:t>
            </w:r>
          </w:p>
        </w:tc>
        <w:tc>
          <w:tcPr>
            <w:tcW w:w="140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3"/>
                <w:szCs w:val="13"/>
                <w:color w:val="auto"/>
              </w:rPr>
              <w:t>11/01/2021</w:t>
            </w:r>
          </w:p>
        </w:tc>
        <w:tc>
          <w:tcPr>
            <w:tcW w:w="3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LNG/C Aktoras</w:t>
            </w:r>
          </w:p>
        </w:tc>
        <w:tc>
          <w:tcPr>
            <w:tcW w:w="122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rPr>
              <w:t>82,194</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06/28/2024</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06/28/2024</w:t>
            </w:r>
          </w:p>
        </w:tc>
        <w:tc>
          <w:tcPr>
            <w:tcW w:w="0" w:type="dxa"/>
            <w:vAlign w:val="bottom"/>
          </w:tcPr>
          <w:p>
            <w:pPr>
              <w:spacing w:after="0"/>
              <w:rPr>
                <w:sz w:val="1"/>
                <w:szCs w:val="1"/>
                <w:color w:val="auto"/>
              </w:rPr>
            </w:pPr>
          </w:p>
        </w:tc>
      </w:tr>
      <w:tr>
        <w:trPr>
          <w:trHeight w:val="190"/>
        </w:trPr>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Aqua Gas Carrier Corp.</w:t>
            </w:r>
          </w:p>
        </w:tc>
        <w:tc>
          <w:tcPr>
            <w:tcW w:w="140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01/17/2023</w:t>
            </w:r>
          </w:p>
        </w:tc>
        <w:tc>
          <w:tcPr>
            <w:tcW w:w="3020" w:type="dxa"/>
            <w:vAlign w:val="bottom"/>
          </w:tcPr>
          <w:p>
            <w:pPr>
              <w:jc w:val="center"/>
              <w:spacing w:after="0" w:line="190" w:lineRule="exact"/>
              <w:rPr>
                <w:sz w:val="20"/>
                <w:szCs w:val="20"/>
                <w:color w:val="auto"/>
              </w:rPr>
            </w:pPr>
            <w:r>
              <w:rPr>
                <w:rFonts w:ascii="Times New Roman" w:cs="Times New Roman" w:eastAsia="Times New Roman" w:hAnsi="Times New Roman"/>
                <w:sz w:val="13"/>
                <w:szCs w:val="13"/>
                <w:color w:val="auto"/>
              </w:rPr>
              <w:t xml:space="preserve">LNG/C Alcaios I (Hull - 8202) </w:t>
            </w:r>
            <w:r>
              <w:rPr>
                <w:rFonts w:ascii="Times New Roman" w:cs="Times New Roman" w:eastAsia="Times New Roman" w:hAnsi="Times New Roman"/>
                <w:sz w:val="21"/>
                <w:szCs w:val="21"/>
                <w:color w:val="auto"/>
                <w:vertAlign w:val="superscript"/>
              </w:rPr>
              <w:t>(5)</w:t>
            </w:r>
          </w:p>
        </w:tc>
        <w:tc>
          <w:tcPr>
            <w:tcW w:w="1220" w:type="dxa"/>
            <w:vAlign w:val="bottom"/>
          </w:tcPr>
          <w:p>
            <w:pPr>
              <w:jc w:val="center"/>
              <w:ind w:left="93"/>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center"/>
              <w:spacing w:after="0" w:line="190" w:lineRule="exact"/>
              <w:rPr>
                <w:sz w:val="20"/>
                <w:szCs w:val="20"/>
                <w:color w:val="auto"/>
              </w:rPr>
            </w:pPr>
            <w:r>
              <w:rPr>
                <w:rFonts w:ascii="Times New Roman" w:cs="Times New Roman" w:eastAsia="Times New Roman" w:hAnsi="Times New Roman"/>
                <w:sz w:val="13"/>
                <w:szCs w:val="13"/>
                <w:color w:val="auto"/>
                <w:w w:val="96"/>
              </w:rPr>
              <w:t xml:space="preserve">09/2026 </w:t>
            </w:r>
            <w:r>
              <w:rPr>
                <w:rFonts w:ascii="Times New Roman" w:cs="Times New Roman" w:eastAsia="Times New Roman" w:hAnsi="Times New Roman"/>
                <w:sz w:val="21"/>
                <w:szCs w:val="21"/>
                <w:color w:val="auto"/>
                <w:w w:val="96"/>
                <w:vertAlign w:val="superscript"/>
              </w:rPr>
              <w:t>(6)</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Mare Gas Carrier Corp.</w:t>
            </w:r>
          </w:p>
        </w:tc>
        <w:tc>
          <w:tcPr>
            <w:tcW w:w="140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01/17/2023</w:t>
            </w:r>
          </w:p>
        </w:tc>
        <w:tc>
          <w:tcPr>
            <w:tcW w:w="302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3"/>
                <w:szCs w:val="13"/>
                <w:color w:val="auto"/>
              </w:rPr>
              <w:t xml:space="preserve">LNG/C Antaios I (Hull - 8203) </w:t>
            </w:r>
            <w:r>
              <w:rPr>
                <w:rFonts w:ascii="Times New Roman" w:cs="Times New Roman" w:eastAsia="Times New Roman" w:hAnsi="Times New Roman"/>
                <w:sz w:val="21"/>
                <w:szCs w:val="21"/>
                <w:color w:val="auto"/>
                <w:vertAlign w:val="superscript"/>
              </w:rPr>
              <w:t>(5)</w:t>
            </w:r>
          </w:p>
        </w:tc>
        <w:tc>
          <w:tcPr>
            <w:tcW w:w="122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3"/>
                <w:szCs w:val="13"/>
                <w:color w:val="auto"/>
                <w:w w:val="93"/>
              </w:rPr>
              <w:t xml:space="preserve">11/2026 </w:t>
            </w:r>
            <w:r>
              <w:rPr>
                <w:rFonts w:ascii="Times New Roman" w:cs="Times New Roman" w:eastAsia="Times New Roman" w:hAnsi="Times New Roman"/>
                <w:sz w:val="21"/>
                <w:szCs w:val="21"/>
                <w:color w:val="auto"/>
                <w:w w:val="93"/>
                <w:vertAlign w:val="superscript"/>
              </w:rPr>
              <w:t>(6)</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Polis Gas Carrier Corp.</w:t>
            </w:r>
          </w:p>
        </w:tc>
        <w:tc>
          <w:tcPr>
            <w:tcW w:w="140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03/27/2023</w:t>
            </w:r>
          </w:p>
        </w:tc>
        <w:tc>
          <w:tcPr>
            <w:tcW w:w="3020" w:type="dxa"/>
            <w:vAlign w:val="bottom"/>
          </w:tcPr>
          <w:p>
            <w:pPr>
              <w:jc w:val="center"/>
              <w:spacing w:after="0" w:line="190" w:lineRule="exact"/>
              <w:rPr>
                <w:sz w:val="20"/>
                <w:szCs w:val="20"/>
                <w:color w:val="auto"/>
              </w:rPr>
            </w:pPr>
            <w:r>
              <w:rPr>
                <w:rFonts w:ascii="Times New Roman" w:cs="Times New Roman" w:eastAsia="Times New Roman" w:hAnsi="Times New Roman"/>
                <w:sz w:val="13"/>
                <w:szCs w:val="13"/>
                <w:color w:val="auto"/>
              </w:rPr>
              <w:t xml:space="preserve">LNG/C Athlos (Hull - 8206) </w:t>
            </w:r>
            <w:r>
              <w:rPr>
                <w:rFonts w:ascii="Times New Roman" w:cs="Times New Roman" w:eastAsia="Times New Roman" w:hAnsi="Times New Roman"/>
                <w:sz w:val="21"/>
                <w:szCs w:val="21"/>
                <w:color w:val="auto"/>
                <w:vertAlign w:val="superscript"/>
              </w:rPr>
              <w:t>(5)</w:t>
            </w:r>
          </w:p>
        </w:tc>
        <w:tc>
          <w:tcPr>
            <w:tcW w:w="1220" w:type="dxa"/>
            <w:vAlign w:val="bottom"/>
          </w:tcPr>
          <w:p>
            <w:pPr>
              <w:jc w:val="center"/>
              <w:ind w:left="93"/>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center"/>
              <w:spacing w:after="0" w:line="190" w:lineRule="exact"/>
              <w:rPr>
                <w:sz w:val="20"/>
                <w:szCs w:val="20"/>
                <w:color w:val="auto"/>
              </w:rPr>
            </w:pPr>
            <w:r>
              <w:rPr>
                <w:rFonts w:ascii="Times New Roman" w:cs="Times New Roman" w:eastAsia="Times New Roman" w:hAnsi="Times New Roman"/>
                <w:sz w:val="13"/>
                <w:szCs w:val="13"/>
                <w:color w:val="auto"/>
                <w:w w:val="96"/>
              </w:rPr>
              <w:t xml:space="preserve">02/2027 </w:t>
            </w:r>
            <w:r>
              <w:rPr>
                <w:rFonts w:ascii="Times New Roman" w:cs="Times New Roman" w:eastAsia="Times New Roman" w:hAnsi="Times New Roman"/>
                <w:sz w:val="21"/>
                <w:szCs w:val="21"/>
                <w:color w:val="auto"/>
                <w:w w:val="96"/>
                <w:vertAlign w:val="superscript"/>
              </w:rPr>
              <w:t>(6)</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Elpis Gas Carrier Corp.</w:t>
            </w:r>
          </w:p>
        </w:tc>
        <w:tc>
          <w:tcPr>
            <w:tcW w:w="140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03/27/2023</w:t>
            </w:r>
          </w:p>
        </w:tc>
        <w:tc>
          <w:tcPr>
            <w:tcW w:w="302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3"/>
                <w:szCs w:val="13"/>
                <w:color w:val="auto"/>
              </w:rPr>
              <w:t xml:space="preserve">LNG/C Archon (Hull - 8207) </w:t>
            </w:r>
            <w:r>
              <w:rPr>
                <w:rFonts w:ascii="Times New Roman" w:cs="Times New Roman" w:eastAsia="Times New Roman" w:hAnsi="Times New Roman"/>
                <w:sz w:val="21"/>
                <w:szCs w:val="21"/>
                <w:color w:val="auto"/>
                <w:vertAlign w:val="superscript"/>
              </w:rPr>
              <w:t>(5)</w:t>
            </w:r>
          </w:p>
        </w:tc>
        <w:tc>
          <w:tcPr>
            <w:tcW w:w="122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3"/>
                <w:szCs w:val="13"/>
                <w:color w:val="auto"/>
                <w:w w:val="96"/>
              </w:rPr>
              <w:t xml:space="preserve">03/2027 </w:t>
            </w:r>
            <w:r>
              <w:rPr>
                <w:rFonts w:ascii="Times New Roman" w:cs="Times New Roman" w:eastAsia="Times New Roman" w:hAnsi="Times New Roman"/>
                <w:sz w:val="21"/>
                <w:szCs w:val="21"/>
                <w:color w:val="auto"/>
                <w:w w:val="96"/>
                <w:vertAlign w:val="superscript"/>
              </w:rPr>
              <w:t>(6)</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Áison Gas Carriers Corp.</w:t>
            </w:r>
          </w:p>
        </w:tc>
        <w:tc>
          <w:tcPr>
            <w:tcW w:w="140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03/28/2024</w:t>
            </w:r>
          </w:p>
        </w:tc>
        <w:tc>
          <w:tcPr>
            <w:tcW w:w="3020" w:type="dxa"/>
            <w:vAlign w:val="bottom"/>
          </w:tcPr>
          <w:p>
            <w:pPr>
              <w:jc w:val="center"/>
              <w:spacing w:after="0" w:line="190" w:lineRule="exact"/>
              <w:rPr>
                <w:sz w:val="20"/>
                <w:szCs w:val="20"/>
                <w:color w:val="auto"/>
              </w:rPr>
            </w:pPr>
            <w:r>
              <w:rPr>
                <w:rFonts w:ascii="Times New Roman" w:cs="Times New Roman" w:eastAsia="Times New Roman" w:hAnsi="Times New Roman"/>
                <w:sz w:val="13"/>
                <w:szCs w:val="13"/>
                <w:color w:val="auto"/>
                <w:w w:val="99"/>
              </w:rPr>
              <w:t xml:space="preserve">MG/C Agenor (Hull - 8427) </w:t>
            </w:r>
            <w:r>
              <w:rPr>
                <w:rFonts w:ascii="Times New Roman" w:cs="Times New Roman" w:eastAsia="Times New Roman" w:hAnsi="Times New Roman"/>
                <w:sz w:val="21"/>
                <w:szCs w:val="21"/>
                <w:color w:val="auto"/>
                <w:w w:val="99"/>
                <w:vertAlign w:val="superscript"/>
              </w:rPr>
              <w:t>(5)</w:t>
            </w:r>
          </w:p>
        </w:tc>
        <w:tc>
          <w:tcPr>
            <w:tcW w:w="1220" w:type="dxa"/>
            <w:vAlign w:val="bottom"/>
          </w:tcPr>
          <w:p>
            <w:pPr>
              <w:jc w:val="center"/>
              <w:ind w:left="93"/>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center"/>
              <w:spacing w:after="0" w:line="190" w:lineRule="exact"/>
              <w:rPr>
                <w:sz w:val="20"/>
                <w:szCs w:val="20"/>
                <w:color w:val="auto"/>
              </w:rPr>
            </w:pPr>
            <w:r>
              <w:rPr>
                <w:rFonts w:ascii="Times New Roman" w:cs="Times New Roman" w:eastAsia="Times New Roman" w:hAnsi="Times New Roman"/>
                <w:sz w:val="13"/>
                <w:szCs w:val="13"/>
                <w:color w:val="auto"/>
                <w:w w:val="96"/>
              </w:rPr>
              <w:t xml:space="preserve">05/2027 </w:t>
            </w:r>
            <w:r>
              <w:rPr>
                <w:rFonts w:ascii="Times New Roman" w:cs="Times New Roman" w:eastAsia="Times New Roman" w:hAnsi="Times New Roman"/>
                <w:sz w:val="21"/>
                <w:szCs w:val="21"/>
                <w:color w:val="auto"/>
                <w:w w:val="96"/>
                <w:vertAlign w:val="superscript"/>
              </w:rPr>
              <w:t>(6)</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Alvis Gas Carriers Corp.</w:t>
            </w:r>
          </w:p>
        </w:tc>
        <w:tc>
          <w:tcPr>
            <w:tcW w:w="140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03/28/2024</w:t>
            </w:r>
          </w:p>
        </w:tc>
        <w:tc>
          <w:tcPr>
            <w:tcW w:w="302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3"/>
                <w:szCs w:val="13"/>
                <w:color w:val="auto"/>
              </w:rPr>
              <w:t xml:space="preserve">MG/C Aridaios (Hull - 8425) </w:t>
            </w:r>
            <w:r>
              <w:rPr>
                <w:rFonts w:ascii="Times New Roman" w:cs="Times New Roman" w:eastAsia="Times New Roman" w:hAnsi="Times New Roman"/>
                <w:sz w:val="21"/>
                <w:szCs w:val="21"/>
                <w:color w:val="auto"/>
                <w:vertAlign w:val="superscript"/>
              </w:rPr>
              <w:t>(5)</w:t>
            </w:r>
          </w:p>
        </w:tc>
        <w:tc>
          <w:tcPr>
            <w:tcW w:w="122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3"/>
                <w:szCs w:val="13"/>
                <w:color w:val="auto"/>
                <w:w w:val="96"/>
              </w:rPr>
              <w:t xml:space="preserve">09/2026 </w:t>
            </w:r>
            <w:r>
              <w:rPr>
                <w:rFonts w:ascii="Times New Roman" w:cs="Times New Roman" w:eastAsia="Times New Roman" w:hAnsi="Times New Roman"/>
                <w:sz w:val="21"/>
                <w:szCs w:val="21"/>
                <w:color w:val="auto"/>
                <w:w w:val="96"/>
                <w:vertAlign w:val="superscript"/>
              </w:rPr>
              <w:t>(6)</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Daidalos Carriers Corp.</w:t>
            </w:r>
          </w:p>
        </w:tc>
        <w:tc>
          <w:tcPr>
            <w:tcW w:w="140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06/21/2023</w:t>
            </w:r>
          </w:p>
        </w:tc>
        <w:tc>
          <w:tcPr>
            <w:tcW w:w="3020" w:type="dxa"/>
            <w:vAlign w:val="bottom"/>
          </w:tcPr>
          <w:p>
            <w:pPr>
              <w:jc w:val="center"/>
              <w:spacing w:after="0" w:line="190" w:lineRule="exact"/>
              <w:rPr>
                <w:sz w:val="20"/>
                <w:szCs w:val="20"/>
                <w:color w:val="auto"/>
              </w:rPr>
            </w:pPr>
            <w:r>
              <w:rPr>
                <w:rFonts w:ascii="Times New Roman" w:cs="Times New Roman" w:eastAsia="Times New Roman" w:hAnsi="Times New Roman"/>
                <w:sz w:val="13"/>
                <w:szCs w:val="13"/>
                <w:color w:val="auto"/>
              </w:rPr>
              <w:t xml:space="preserve">LCO2 - HMG/C Amadeus (Hull - 8399) </w:t>
            </w:r>
            <w:r>
              <w:rPr>
                <w:rFonts w:ascii="Times New Roman" w:cs="Times New Roman" w:eastAsia="Times New Roman" w:hAnsi="Times New Roman"/>
                <w:sz w:val="21"/>
                <w:szCs w:val="21"/>
                <w:color w:val="auto"/>
                <w:vertAlign w:val="superscript"/>
              </w:rPr>
              <w:t>(5)</w:t>
            </w:r>
          </w:p>
        </w:tc>
        <w:tc>
          <w:tcPr>
            <w:tcW w:w="1220" w:type="dxa"/>
            <w:vAlign w:val="bottom"/>
          </w:tcPr>
          <w:p>
            <w:pPr>
              <w:jc w:val="center"/>
              <w:ind w:left="93"/>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center"/>
              <w:spacing w:after="0" w:line="190" w:lineRule="exact"/>
              <w:rPr>
                <w:sz w:val="20"/>
                <w:szCs w:val="20"/>
                <w:color w:val="auto"/>
              </w:rPr>
            </w:pPr>
            <w:r>
              <w:rPr>
                <w:rFonts w:ascii="Times New Roman" w:cs="Times New Roman" w:eastAsia="Times New Roman" w:hAnsi="Times New Roman"/>
                <w:sz w:val="13"/>
                <w:szCs w:val="13"/>
                <w:color w:val="auto"/>
                <w:w w:val="96"/>
              </w:rPr>
              <w:t xml:space="preserve">04/2026 </w:t>
            </w:r>
            <w:r>
              <w:rPr>
                <w:rFonts w:ascii="Times New Roman" w:cs="Times New Roman" w:eastAsia="Times New Roman" w:hAnsi="Times New Roman"/>
                <w:sz w:val="21"/>
                <w:szCs w:val="21"/>
                <w:color w:val="auto"/>
                <w:w w:val="96"/>
                <w:vertAlign w:val="superscript"/>
              </w:rPr>
              <w:t>(6)</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Iason Gas Carriers Corp.</w:t>
            </w:r>
          </w:p>
        </w:tc>
        <w:tc>
          <w:tcPr>
            <w:tcW w:w="140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03/07/2024</w:t>
            </w:r>
          </w:p>
        </w:tc>
        <w:tc>
          <w:tcPr>
            <w:tcW w:w="302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3"/>
                <w:szCs w:val="13"/>
                <w:color w:val="auto"/>
                <w:w w:val="99"/>
              </w:rPr>
              <w:t xml:space="preserve">MG/C Anios (Hull - S1111) </w:t>
            </w:r>
            <w:r>
              <w:rPr>
                <w:rFonts w:ascii="Times New Roman" w:cs="Times New Roman" w:eastAsia="Times New Roman" w:hAnsi="Times New Roman"/>
                <w:sz w:val="21"/>
                <w:szCs w:val="21"/>
                <w:color w:val="auto"/>
                <w:w w:val="99"/>
                <w:vertAlign w:val="superscript"/>
              </w:rPr>
              <w:t>(5)</w:t>
            </w:r>
          </w:p>
        </w:tc>
        <w:tc>
          <w:tcPr>
            <w:tcW w:w="122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3"/>
                <w:szCs w:val="13"/>
                <w:color w:val="auto"/>
                <w:w w:val="96"/>
              </w:rPr>
              <w:t xml:space="preserve">03/2027 </w:t>
            </w:r>
            <w:r>
              <w:rPr>
                <w:rFonts w:ascii="Times New Roman" w:cs="Times New Roman" w:eastAsia="Times New Roman" w:hAnsi="Times New Roman"/>
                <w:sz w:val="21"/>
                <w:szCs w:val="21"/>
                <w:color w:val="auto"/>
                <w:w w:val="96"/>
                <w:vertAlign w:val="superscript"/>
              </w:rPr>
              <w:t>(6)</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Ifaistos Carriers Corp.</w:t>
            </w:r>
          </w:p>
        </w:tc>
        <w:tc>
          <w:tcPr>
            <w:tcW w:w="140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01/29/2024</w:t>
            </w:r>
          </w:p>
        </w:tc>
        <w:tc>
          <w:tcPr>
            <w:tcW w:w="3020" w:type="dxa"/>
            <w:vAlign w:val="bottom"/>
          </w:tcPr>
          <w:p>
            <w:pPr>
              <w:jc w:val="center"/>
              <w:spacing w:after="0" w:line="190" w:lineRule="exact"/>
              <w:rPr>
                <w:sz w:val="20"/>
                <w:szCs w:val="20"/>
                <w:color w:val="auto"/>
              </w:rPr>
            </w:pPr>
            <w:r>
              <w:rPr>
                <w:rFonts w:ascii="Times New Roman" w:cs="Times New Roman" w:eastAsia="Times New Roman" w:hAnsi="Times New Roman"/>
                <w:sz w:val="13"/>
                <w:szCs w:val="13"/>
                <w:color w:val="auto"/>
              </w:rPr>
              <w:t xml:space="preserve">LCO2 - HMG/C Alkimos (Hull - 8404) </w:t>
            </w:r>
            <w:r>
              <w:rPr>
                <w:rFonts w:ascii="Times New Roman" w:cs="Times New Roman" w:eastAsia="Times New Roman" w:hAnsi="Times New Roman"/>
                <w:sz w:val="21"/>
                <w:szCs w:val="21"/>
                <w:color w:val="auto"/>
                <w:vertAlign w:val="superscript"/>
              </w:rPr>
              <w:t>(5)</w:t>
            </w:r>
          </w:p>
        </w:tc>
        <w:tc>
          <w:tcPr>
            <w:tcW w:w="1220" w:type="dxa"/>
            <w:vAlign w:val="bottom"/>
          </w:tcPr>
          <w:p>
            <w:pPr>
              <w:jc w:val="center"/>
              <w:ind w:left="93"/>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center"/>
              <w:spacing w:after="0" w:line="190" w:lineRule="exact"/>
              <w:rPr>
                <w:sz w:val="20"/>
                <w:szCs w:val="20"/>
                <w:color w:val="auto"/>
              </w:rPr>
            </w:pPr>
            <w:r>
              <w:rPr>
                <w:rFonts w:ascii="Times New Roman" w:cs="Times New Roman" w:eastAsia="Times New Roman" w:hAnsi="Times New Roman"/>
                <w:sz w:val="13"/>
                <w:szCs w:val="13"/>
                <w:color w:val="auto"/>
                <w:w w:val="96"/>
              </w:rPr>
              <w:t xml:space="preserve">09/2026 </w:t>
            </w:r>
            <w:r>
              <w:rPr>
                <w:rFonts w:ascii="Times New Roman" w:cs="Times New Roman" w:eastAsia="Times New Roman" w:hAnsi="Times New Roman"/>
                <w:sz w:val="21"/>
                <w:szCs w:val="21"/>
                <w:color w:val="auto"/>
                <w:w w:val="96"/>
                <w:vertAlign w:val="superscript"/>
              </w:rPr>
              <w:t>(6)</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Ikaros Carriers Corp.</w:t>
            </w:r>
          </w:p>
        </w:tc>
        <w:tc>
          <w:tcPr>
            <w:tcW w:w="140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06/21/2023</w:t>
            </w:r>
          </w:p>
        </w:tc>
        <w:tc>
          <w:tcPr>
            <w:tcW w:w="302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3"/>
                <w:szCs w:val="13"/>
                <w:color w:val="auto"/>
              </w:rPr>
              <w:t xml:space="preserve">LCO2 - HMG/C Active (Hull - 8398) </w:t>
            </w:r>
            <w:r>
              <w:rPr>
                <w:rFonts w:ascii="Times New Roman" w:cs="Times New Roman" w:eastAsia="Times New Roman" w:hAnsi="Times New Roman"/>
                <w:sz w:val="21"/>
                <w:szCs w:val="21"/>
                <w:color w:val="auto"/>
                <w:vertAlign w:val="superscript"/>
              </w:rPr>
              <w:t>(5)</w:t>
            </w:r>
          </w:p>
        </w:tc>
        <w:tc>
          <w:tcPr>
            <w:tcW w:w="122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3"/>
                <w:szCs w:val="13"/>
                <w:color w:val="auto"/>
                <w:w w:val="96"/>
              </w:rPr>
              <w:t xml:space="preserve">01/2026 </w:t>
            </w:r>
            <w:r>
              <w:rPr>
                <w:rFonts w:ascii="Times New Roman" w:cs="Times New Roman" w:eastAsia="Times New Roman" w:hAnsi="Times New Roman"/>
                <w:sz w:val="21"/>
                <w:szCs w:val="21"/>
                <w:color w:val="auto"/>
                <w:w w:val="96"/>
                <w:vertAlign w:val="superscript"/>
              </w:rPr>
              <w:t>(6)</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Leandros Carriers Corp.</w:t>
            </w:r>
          </w:p>
        </w:tc>
        <w:tc>
          <w:tcPr>
            <w:tcW w:w="140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01/29/2024</w:t>
            </w:r>
          </w:p>
        </w:tc>
        <w:tc>
          <w:tcPr>
            <w:tcW w:w="3020" w:type="dxa"/>
            <w:vAlign w:val="bottom"/>
          </w:tcPr>
          <w:p>
            <w:pPr>
              <w:jc w:val="center"/>
              <w:spacing w:after="0" w:line="190" w:lineRule="exact"/>
              <w:rPr>
                <w:sz w:val="20"/>
                <w:szCs w:val="20"/>
                <w:color w:val="auto"/>
              </w:rPr>
            </w:pPr>
            <w:r>
              <w:rPr>
                <w:rFonts w:ascii="Times New Roman" w:cs="Times New Roman" w:eastAsia="Times New Roman" w:hAnsi="Times New Roman"/>
                <w:sz w:val="13"/>
                <w:szCs w:val="13"/>
                <w:color w:val="auto"/>
              </w:rPr>
              <w:t xml:space="preserve">LCO2 - HMG/C Athenian (Hull - 8405) </w:t>
            </w:r>
            <w:r>
              <w:rPr>
                <w:rFonts w:ascii="Times New Roman" w:cs="Times New Roman" w:eastAsia="Times New Roman" w:hAnsi="Times New Roman"/>
                <w:sz w:val="21"/>
                <w:szCs w:val="21"/>
                <w:color w:val="auto"/>
                <w:vertAlign w:val="superscript"/>
              </w:rPr>
              <w:t>(5)</w:t>
            </w:r>
          </w:p>
        </w:tc>
        <w:tc>
          <w:tcPr>
            <w:tcW w:w="1220" w:type="dxa"/>
            <w:vAlign w:val="bottom"/>
          </w:tcPr>
          <w:p>
            <w:pPr>
              <w:jc w:val="center"/>
              <w:ind w:left="93"/>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center"/>
              <w:spacing w:after="0" w:line="190" w:lineRule="exact"/>
              <w:rPr>
                <w:sz w:val="20"/>
                <w:szCs w:val="20"/>
                <w:color w:val="auto"/>
              </w:rPr>
            </w:pPr>
            <w:r>
              <w:rPr>
                <w:rFonts w:ascii="Times New Roman" w:cs="Times New Roman" w:eastAsia="Times New Roman" w:hAnsi="Times New Roman"/>
                <w:sz w:val="13"/>
                <w:szCs w:val="13"/>
                <w:color w:val="auto"/>
                <w:w w:val="93"/>
              </w:rPr>
              <w:t xml:space="preserve">11/2026 </w:t>
            </w:r>
            <w:r>
              <w:rPr>
                <w:rFonts w:ascii="Times New Roman" w:cs="Times New Roman" w:eastAsia="Times New Roman" w:hAnsi="Times New Roman"/>
                <w:sz w:val="21"/>
                <w:szCs w:val="21"/>
                <w:color w:val="auto"/>
                <w:w w:val="93"/>
                <w:vertAlign w:val="superscript"/>
              </w:rPr>
              <w:t>(6)</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Menelaos Gas Carriers Corp.</w:t>
            </w:r>
          </w:p>
        </w:tc>
        <w:tc>
          <w:tcPr>
            <w:tcW w:w="140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03/07/2024</w:t>
            </w:r>
          </w:p>
        </w:tc>
        <w:tc>
          <w:tcPr>
            <w:tcW w:w="302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3"/>
                <w:szCs w:val="13"/>
                <w:color w:val="auto"/>
              </w:rPr>
              <w:t xml:space="preserve">MG/C Andrianos (Hull - S1112) </w:t>
            </w:r>
            <w:r>
              <w:rPr>
                <w:rFonts w:ascii="Times New Roman" w:cs="Times New Roman" w:eastAsia="Times New Roman" w:hAnsi="Times New Roman"/>
                <w:sz w:val="21"/>
                <w:szCs w:val="21"/>
                <w:color w:val="auto"/>
                <w:vertAlign w:val="superscript"/>
              </w:rPr>
              <w:t>(5)</w:t>
            </w:r>
          </w:p>
        </w:tc>
        <w:tc>
          <w:tcPr>
            <w:tcW w:w="122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3"/>
                <w:szCs w:val="13"/>
                <w:color w:val="auto"/>
                <w:w w:val="96"/>
              </w:rPr>
              <w:t xml:space="preserve">07/2027 </w:t>
            </w:r>
            <w:r>
              <w:rPr>
                <w:rFonts w:ascii="Times New Roman" w:cs="Times New Roman" w:eastAsia="Times New Roman" w:hAnsi="Times New Roman"/>
                <w:sz w:val="21"/>
                <w:szCs w:val="21"/>
                <w:color w:val="auto"/>
                <w:w w:val="96"/>
                <w:vertAlign w:val="superscript"/>
              </w:rPr>
              <w:t>(6)</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Omiros Gas Carriers Corp.</w:t>
            </w:r>
          </w:p>
        </w:tc>
        <w:tc>
          <w:tcPr>
            <w:tcW w:w="140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03/28/2024</w:t>
            </w:r>
          </w:p>
        </w:tc>
        <w:tc>
          <w:tcPr>
            <w:tcW w:w="3020" w:type="dxa"/>
            <w:vAlign w:val="bottom"/>
          </w:tcPr>
          <w:p>
            <w:pPr>
              <w:jc w:val="center"/>
              <w:spacing w:after="0" w:line="190" w:lineRule="exact"/>
              <w:rPr>
                <w:sz w:val="20"/>
                <w:szCs w:val="20"/>
                <w:color w:val="auto"/>
              </w:rPr>
            </w:pPr>
            <w:r>
              <w:rPr>
                <w:rFonts w:ascii="Times New Roman" w:cs="Times New Roman" w:eastAsia="Times New Roman" w:hAnsi="Times New Roman"/>
                <w:sz w:val="13"/>
                <w:szCs w:val="13"/>
                <w:color w:val="auto"/>
                <w:w w:val="99"/>
              </w:rPr>
              <w:t xml:space="preserve">MG/C Aratos (Hull - 8426) </w:t>
            </w:r>
            <w:r>
              <w:rPr>
                <w:rFonts w:ascii="Times New Roman" w:cs="Times New Roman" w:eastAsia="Times New Roman" w:hAnsi="Times New Roman"/>
                <w:sz w:val="21"/>
                <w:szCs w:val="21"/>
                <w:color w:val="auto"/>
                <w:w w:val="99"/>
                <w:vertAlign w:val="superscript"/>
              </w:rPr>
              <w:t>(5)</w:t>
            </w:r>
          </w:p>
        </w:tc>
        <w:tc>
          <w:tcPr>
            <w:tcW w:w="1220" w:type="dxa"/>
            <w:vAlign w:val="bottom"/>
          </w:tcPr>
          <w:p>
            <w:pPr>
              <w:jc w:val="center"/>
              <w:ind w:left="93"/>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center"/>
              <w:spacing w:after="0" w:line="190" w:lineRule="exact"/>
              <w:rPr>
                <w:sz w:val="20"/>
                <w:szCs w:val="20"/>
                <w:color w:val="auto"/>
              </w:rPr>
            </w:pPr>
            <w:r>
              <w:rPr>
                <w:rFonts w:ascii="Times New Roman" w:cs="Times New Roman" w:eastAsia="Times New Roman" w:hAnsi="Times New Roman"/>
                <w:sz w:val="13"/>
                <w:szCs w:val="13"/>
                <w:color w:val="auto"/>
                <w:w w:val="96"/>
              </w:rPr>
              <w:t xml:space="preserve">02/2027 </w:t>
            </w:r>
            <w:r>
              <w:rPr>
                <w:rFonts w:ascii="Times New Roman" w:cs="Times New Roman" w:eastAsia="Times New Roman" w:hAnsi="Times New Roman"/>
                <w:sz w:val="21"/>
                <w:szCs w:val="21"/>
                <w:color w:val="auto"/>
                <w:w w:val="96"/>
                <w:vertAlign w:val="superscript"/>
              </w:rPr>
              <w:t>(6)</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Venus Gas Carriers Corp.</w:t>
            </w:r>
          </w:p>
        </w:tc>
        <w:tc>
          <w:tcPr>
            <w:tcW w:w="140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03/28/2024</w:t>
            </w:r>
          </w:p>
        </w:tc>
        <w:tc>
          <w:tcPr>
            <w:tcW w:w="302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3"/>
                <w:szCs w:val="13"/>
                <w:color w:val="auto"/>
              </w:rPr>
              <w:t xml:space="preserve">MG/C Aristogenis (Hull - 8424) </w:t>
            </w:r>
            <w:r>
              <w:rPr>
                <w:rFonts w:ascii="Times New Roman" w:cs="Times New Roman" w:eastAsia="Times New Roman" w:hAnsi="Times New Roman"/>
                <w:sz w:val="21"/>
                <w:szCs w:val="21"/>
                <w:color w:val="auto"/>
                <w:vertAlign w:val="superscript"/>
              </w:rPr>
              <w:t>(5)</w:t>
            </w:r>
          </w:p>
        </w:tc>
        <w:tc>
          <w:tcPr>
            <w:tcW w:w="122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3"/>
                <w:szCs w:val="13"/>
                <w:color w:val="auto"/>
                <w:w w:val="96"/>
              </w:rPr>
              <w:t xml:space="preserve">06/2026 </w:t>
            </w:r>
            <w:r>
              <w:rPr>
                <w:rFonts w:ascii="Times New Roman" w:cs="Times New Roman" w:eastAsia="Times New Roman" w:hAnsi="Times New Roman"/>
                <w:sz w:val="21"/>
                <w:szCs w:val="21"/>
                <w:color w:val="auto"/>
                <w:w w:val="96"/>
                <w:vertAlign w:val="superscript"/>
              </w:rPr>
              <w:t>(6)</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Egeus Gas Carrier Corp.</w:t>
            </w:r>
          </w:p>
        </w:tc>
        <w:tc>
          <w:tcPr>
            <w:tcW w:w="140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06/23/2025</w:t>
            </w:r>
          </w:p>
        </w:tc>
        <w:tc>
          <w:tcPr>
            <w:tcW w:w="3020" w:type="dxa"/>
            <w:vAlign w:val="bottom"/>
          </w:tcPr>
          <w:p>
            <w:pPr>
              <w:jc w:val="center"/>
              <w:spacing w:after="0" w:line="190" w:lineRule="exact"/>
              <w:rPr>
                <w:sz w:val="20"/>
                <w:szCs w:val="20"/>
                <w:color w:val="auto"/>
              </w:rPr>
            </w:pPr>
            <w:r>
              <w:rPr>
                <w:rFonts w:ascii="Times New Roman" w:cs="Times New Roman" w:eastAsia="Times New Roman" w:hAnsi="Times New Roman"/>
                <w:sz w:val="13"/>
                <w:szCs w:val="13"/>
                <w:color w:val="auto"/>
              </w:rPr>
              <w:t xml:space="preserve">LNG/C Amfialos (Hull No.8327) </w:t>
            </w:r>
            <w:r>
              <w:rPr>
                <w:rFonts w:ascii="Times New Roman" w:cs="Times New Roman" w:eastAsia="Times New Roman" w:hAnsi="Times New Roman"/>
                <w:sz w:val="21"/>
                <w:szCs w:val="21"/>
                <w:color w:val="auto"/>
                <w:vertAlign w:val="superscript"/>
              </w:rPr>
              <w:t>(5)</w:t>
            </w:r>
          </w:p>
        </w:tc>
        <w:tc>
          <w:tcPr>
            <w:tcW w:w="1220" w:type="dxa"/>
            <w:vAlign w:val="bottom"/>
          </w:tcPr>
          <w:p>
            <w:pPr>
              <w:jc w:val="center"/>
              <w:ind w:left="93"/>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center"/>
              <w:spacing w:after="0" w:line="190" w:lineRule="exact"/>
              <w:rPr>
                <w:sz w:val="20"/>
                <w:szCs w:val="20"/>
                <w:color w:val="auto"/>
              </w:rPr>
            </w:pPr>
            <w:r>
              <w:rPr>
                <w:rFonts w:ascii="Times New Roman" w:cs="Times New Roman" w:eastAsia="Times New Roman" w:hAnsi="Times New Roman"/>
                <w:sz w:val="13"/>
                <w:szCs w:val="13"/>
                <w:color w:val="auto"/>
                <w:w w:val="96"/>
              </w:rPr>
              <w:t xml:space="preserve">08/2028 </w:t>
            </w:r>
            <w:r>
              <w:rPr>
                <w:rFonts w:ascii="Times New Roman" w:cs="Times New Roman" w:eastAsia="Times New Roman" w:hAnsi="Times New Roman"/>
                <w:sz w:val="21"/>
                <w:szCs w:val="21"/>
                <w:color w:val="auto"/>
                <w:w w:val="96"/>
                <w:vertAlign w:val="superscript"/>
              </w:rPr>
              <w:t>(6)</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Aigeas Gas Carrier Corp.</w:t>
            </w:r>
          </w:p>
        </w:tc>
        <w:tc>
          <w:tcPr>
            <w:tcW w:w="140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06/23/2025</w:t>
            </w:r>
          </w:p>
        </w:tc>
        <w:tc>
          <w:tcPr>
            <w:tcW w:w="302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3"/>
                <w:szCs w:val="13"/>
                <w:color w:val="auto"/>
                <w:w w:val="99"/>
              </w:rPr>
              <w:t xml:space="preserve">LNG/C Amfilochos (Hull No.8328) </w:t>
            </w:r>
            <w:r>
              <w:rPr>
                <w:rFonts w:ascii="Times New Roman" w:cs="Times New Roman" w:eastAsia="Times New Roman" w:hAnsi="Times New Roman"/>
                <w:sz w:val="21"/>
                <w:szCs w:val="21"/>
                <w:color w:val="auto"/>
                <w:w w:val="99"/>
                <w:vertAlign w:val="superscript"/>
              </w:rPr>
              <w:t>(5)</w:t>
            </w:r>
          </w:p>
        </w:tc>
        <w:tc>
          <w:tcPr>
            <w:tcW w:w="122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3"/>
                <w:szCs w:val="13"/>
                <w:color w:val="auto"/>
                <w:w w:val="96"/>
              </w:rPr>
              <w:t xml:space="preserve">01/2029 </w:t>
            </w:r>
            <w:r>
              <w:rPr>
                <w:rFonts w:ascii="Times New Roman" w:cs="Times New Roman" w:eastAsia="Times New Roman" w:hAnsi="Times New Roman"/>
                <w:sz w:val="21"/>
                <w:szCs w:val="21"/>
                <w:color w:val="auto"/>
                <w:w w:val="96"/>
                <w:vertAlign w:val="superscript"/>
              </w:rPr>
              <w:t>(6)</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1"/>
        </w:trPr>
        <w:tc>
          <w:tcPr>
            <w:tcW w:w="2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Dareios Gas Carrier Corp.</w:t>
            </w:r>
          </w:p>
        </w:tc>
        <w:tc>
          <w:tcPr>
            <w:tcW w:w="140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06/23/2025</w:t>
            </w:r>
          </w:p>
        </w:tc>
        <w:tc>
          <w:tcPr>
            <w:tcW w:w="30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 xml:space="preserve">LNG/C Amissos (Hull No.8329) </w:t>
            </w:r>
            <w:r>
              <w:rPr>
                <w:rFonts w:ascii="Times New Roman" w:cs="Times New Roman" w:eastAsia="Times New Roman" w:hAnsi="Times New Roman"/>
                <w:sz w:val="22"/>
                <w:szCs w:val="22"/>
                <w:color w:val="auto"/>
                <w:w w:val="99"/>
                <w:vertAlign w:val="superscript"/>
              </w:rPr>
              <w:t>(5)</w:t>
            </w:r>
          </w:p>
        </w:tc>
        <w:tc>
          <w:tcPr>
            <w:tcW w:w="1220" w:type="dxa"/>
            <w:vAlign w:val="bottom"/>
          </w:tcPr>
          <w:p>
            <w:pPr>
              <w:jc w:val="center"/>
              <w:ind w:left="93"/>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 xml:space="preserve">02/2029 </w:t>
            </w:r>
            <w:r>
              <w:rPr>
                <w:rFonts w:ascii="Times New Roman" w:cs="Times New Roman" w:eastAsia="Times New Roman" w:hAnsi="Times New Roman"/>
                <w:sz w:val="22"/>
                <w:szCs w:val="22"/>
                <w:color w:val="auto"/>
                <w:w w:val="95"/>
                <w:vertAlign w:val="superscript"/>
              </w:rPr>
              <w:t>(6)</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ind w:left="240" w:hanging="240"/>
        <w:spacing w:after="0" w:line="225" w:lineRule="auto"/>
        <w:tabs>
          <w:tab w:leader="none" w:pos="240" w:val="left"/>
        </w:tabs>
        <w:numPr>
          <w:ilvl w:val="0"/>
          <w:numId w:val="1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Vessels were disposed in 2025</w:t>
      </w:r>
    </w:p>
    <w:p>
      <w:pPr>
        <w:spacing w:after="0" w:line="2" w:lineRule="exact"/>
        <w:rPr>
          <w:rFonts w:ascii="Times New Roman" w:cs="Times New Roman" w:eastAsia="Times New Roman" w:hAnsi="Times New Roman"/>
          <w:sz w:val="22"/>
          <w:szCs w:val="22"/>
          <w:color w:val="auto"/>
          <w:vertAlign w:val="superscript"/>
        </w:rPr>
      </w:pPr>
    </w:p>
    <w:p>
      <w:pPr>
        <w:ind w:left="240" w:hanging="240"/>
        <w:spacing w:after="0" w:line="183" w:lineRule="auto"/>
        <w:tabs>
          <w:tab w:leader="none" w:pos="240" w:val="left"/>
        </w:tabs>
        <w:numPr>
          <w:ilvl w:val="0"/>
          <w:numId w:val="13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Vessels were disposed in 2024</w:t>
      </w:r>
    </w:p>
    <w:p>
      <w:pPr>
        <w:spacing w:after="0" w:line="1" w:lineRule="exact"/>
        <w:rPr>
          <w:rFonts w:ascii="Times New Roman" w:cs="Times New Roman" w:eastAsia="Times New Roman" w:hAnsi="Times New Roman"/>
          <w:sz w:val="18"/>
          <w:szCs w:val="18"/>
          <w:color w:val="auto"/>
          <w:vertAlign w:val="superscript"/>
        </w:rPr>
      </w:pPr>
    </w:p>
    <w:p>
      <w:pPr>
        <w:ind w:left="240" w:hanging="240"/>
        <w:spacing w:after="0" w:line="183" w:lineRule="auto"/>
        <w:tabs>
          <w:tab w:leader="none" w:pos="240" w:val="left"/>
        </w:tabs>
        <w:numPr>
          <w:ilvl w:val="0"/>
          <w:numId w:val="13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Vessel was disposed in 2023</w:t>
      </w:r>
    </w:p>
    <w:p>
      <w:pPr>
        <w:spacing w:after="0" w:line="1" w:lineRule="exact"/>
        <w:rPr>
          <w:rFonts w:ascii="Times New Roman" w:cs="Times New Roman" w:eastAsia="Times New Roman" w:hAnsi="Times New Roman"/>
          <w:sz w:val="18"/>
          <w:szCs w:val="18"/>
          <w:color w:val="auto"/>
          <w:vertAlign w:val="superscript"/>
        </w:rPr>
      </w:pPr>
    </w:p>
    <w:p>
      <w:pPr>
        <w:ind w:left="240" w:hanging="240"/>
        <w:spacing w:after="0" w:line="183" w:lineRule="auto"/>
        <w:tabs>
          <w:tab w:leader="none" w:pos="240" w:val="left"/>
        </w:tabs>
        <w:numPr>
          <w:ilvl w:val="0"/>
          <w:numId w:val="13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Vessel agreed to be disposed in 2026</w:t>
      </w:r>
    </w:p>
    <w:p>
      <w:pPr>
        <w:spacing w:after="0" w:line="1" w:lineRule="exact"/>
        <w:rPr>
          <w:rFonts w:ascii="Times New Roman" w:cs="Times New Roman" w:eastAsia="Times New Roman" w:hAnsi="Times New Roman"/>
          <w:sz w:val="18"/>
          <w:szCs w:val="18"/>
          <w:color w:val="auto"/>
          <w:vertAlign w:val="superscript"/>
        </w:rPr>
      </w:pPr>
    </w:p>
    <w:p>
      <w:pPr>
        <w:ind w:left="240" w:hanging="240"/>
        <w:spacing w:after="0" w:line="183" w:lineRule="auto"/>
        <w:tabs>
          <w:tab w:leader="none" w:pos="240" w:val="left"/>
        </w:tabs>
        <w:numPr>
          <w:ilvl w:val="0"/>
          <w:numId w:val="13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Vessels are under construction</w:t>
      </w:r>
    </w:p>
    <w:p>
      <w:pPr>
        <w:spacing w:after="0" w:line="1" w:lineRule="exact"/>
        <w:rPr>
          <w:rFonts w:ascii="Times New Roman" w:cs="Times New Roman" w:eastAsia="Times New Roman" w:hAnsi="Times New Roman"/>
          <w:sz w:val="18"/>
          <w:szCs w:val="18"/>
          <w:color w:val="auto"/>
          <w:vertAlign w:val="superscript"/>
        </w:rPr>
      </w:pPr>
    </w:p>
    <w:p>
      <w:pPr>
        <w:ind w:left="240" w:hanging="240"/>
        <w:spacing w:after="0" w:line="183" w:lineRule="auto"/>
        <w:tabs>
          <w:tab w:leader="none" w:pos="240" w:val="left"/>
        </w:tabs>
        <w:numPr>
          <w:ilvl w:val="0"/>
          <w:numId w:val="13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Estimated delivery dates for newbuild vessels as of December 31, 2025</w:t>
      </w:r>
    </w:p>
    <w:p>
      <w:pPr>
        <w:spacing w:after="0" w:line="247" w:lineRule="exact"/>
        <w:rPr>
          <w:sz w:val="20"/>
          <w:szCs w:val="20"/>
          <w:color w:val="auto"/>
        </w:rPr>
      </w:pPr>
    </w:p>
    <w:p>
      <w:pPr>
        <w:jc w:val="right"/>
        <w:spacing w:after="0"/>
        <w:tabs>
          <w:tab w:leader="none" w:pos="920" w:val="left"/>
        </w:tabs>
        <w:rPr>
          <w:sz w:val="20"/>
          <w:szCs w:val="20"/>
          <w:color w:val="auto"/>
        </w:rPr>
      </w:pPr>
      <w:r>
        <w:rPr>
          <w:rFonts w:ascii="Times New Roman" w:cs="Times New Roman" w:eastAsia="Times New Roman" w:hAnsi="Times New Roman"/>
          <w:sz w:val="13"/>
          <w:szCs w:val="13"/>
          <w:color w:val="auto"/>
        </w:rPr>
        <w:t>F- 7</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3"/>
          <w:szCs w:val="13"/>
          <w:b w:val="1"/>
          <w:bCs w:val="1"/>
          <w:color w:val="auto"/>
        </w:rPr>
        <w:t>Capital Clean Energy Carriers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United States Dollars, unless otherwise specified)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 Significant Accounting Policies</w:t>
      </w:r>
    </w:p>
    <w:p>
      <w:pPr>
        <w:spacing w:after="0" w:line="278" w:lineRule="exact"/>
        <w:rPr>
          <w:sz w:val="20"/>
          <w:szCs w:val="20"/>
          <w:color w:val="auto"/>
        </w:rPr>
      </w:pPr>
    </w:p>
    <w:p>
      <w:pPr>
        <w:spacing w:after="0" w:line="299" w:lineRule="auto"/>
        <w:tabs>
          <w:tab w:leader="none" w:pos="188" w:val="left"/>
        </w:tabs>
        <w:numPr>
          <w:ilvl w:val="0"/>
          <w:numId w:val="132"/>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xml:space="preserve">Principles of consolidation: </w:t>
      </w:r>
      <w:r>
        <w:rPr>
          <w:rFonts w:ascii="Times New Roman" w:cs="Times New Roman" w:eastAsia="Times New Roman" w:hAnsi="Times New Roman"/>
          <w:sz w:val="13"/>
          <w:szCs w:val="13"/>
          <w:color w:val="auto"/>
        </w:rPr>
        <w:t>The consolidated financial statements have been prepared in accordance with accounting principles generally accepted in the United States of America (“U.S. GAAP”) and include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the accounts of the legal entities comprising the Company as discussed in Note 1. Intra-group balances and transactions have been eliminated upon consolidation.</w:t>
      </w:r>
    </w:p>
    <w:p>
      <w:pPr>
        <w:spacing w:after="0" w:line="106" w:lineRule="exact"/>
        <w:rPr>
          <w:rFonts w:ascii="Times New Roman" w:cs="Times New Roman" w:eastAsia="Times New Roman" w:hAnsi="Times New Roman"/>
          <w:sz w:val="13"/>
          <w:szCs w:val="13"/>
          <w:b w:val="1"/>
          <w:bCs w:val="1"/>
          <w:i w:val="1"/>
          <w:iCs w:val="1"/>
          <w:color w:val="auto"/>
        </w:rPr>
      </w:pPr>
    </w:p>
    <w:p>
      <w:pPr>
        <w:jc w:val="both"/>
        <w:spacing w:after="0" w:line="278" w:lineRule="auto"/>
        <w:tabs>
          <w:tab w:leader="none" w:pos="188" w:val="left"/>
        </w:tabs>
        <w:numPr>
          <w:ilvl w:val="0"/>
          <w:numId w:val="132"/>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xml:space="preserve">Use of estimates: </w:t>
      </w:r>
      <w:r>
        <w:rPr>
          <w:rFonts w:ascii="Times New Roman" w:cs="Times New Roman" w:eastAsia="Times New Roman" w:hAnsi="Times New Roman"/>
          <w:sz w:val="13"/>
          <w:szCs w:val="13"/>
          <w:color w:val="auto"/>
        </w:rPr>
        <w:t>The preparation of consolidated financial statements in conformity with U.S. GAAP requires management to make estimates and assumptions that affect the reported amounts of assets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liabilities and disclosure of contingent assets and liabilities at the date of the financial statements and the amounts of revenues and expenses recognized during the reporting period. Actual results could differ from those estimates.</w:t>
      </w:r>
    </w:p>
    <w:p>
      <w:pPr>
        <w:spacing w:after="0" w:line="119" w:lineRule="exact"/>
        <w:rPr>
          <w:rFonts w:ascii="Times New Roman" w:cs="Times New Roman" w:eastAsia="Times New Roman" w:hAnsi="Times New Roman"/>
          <w:sz w:val="13"/>
          <w:szCs w:val="13"/>
          <w:b w:val="1"/>
          <w:bCs w:val="1"/>
          <w:i w:val="1"/>
          <w:iCs w:val="1"/>
          <w:color w:val="auto"/>
        </w:rPr>
      </w:pPr>
    </w:p>
    <w:p>
      <w:pPr>
        <w:ind w:left="180" w:hanging="180"/>
        <w:spacing w:after="0"/>
        <w:tabs>
          <w:tab w:leader="none" w:pos="180" w:val="left"/>
        </w:tabs>
        <w:numPr>
          <w:ilvl w:val="0"/>
          <w:numId w:val="132"/>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xml:space="preserve">Accounting for revenue, voyage expenses and operating expenses: </w:t>
      </w:r>
      <w:r>
        <w:rPr>
          <w:rFonts w:ascii="Times New Roman" w:cs="Times New Roman" w:eastAsia="Times New Roman" w:hAnsi="Times New Roman"/>
          <w:sz w:val="13"/>
          <w:szCs w:val="13"/>
          <w:color w:val="auto"/>
        </w:rPr>
        <w:t>Revenue is generated from time, bareboat or voyage charter contracts.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Time and bareboat charters contracts</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A time and bareboat charter is a contract for the use of a vessel for a specific period of time and a specified daily charter hire rate, which is generally payable in advance. A time and bareboat charter generally provides typical warranties and owner protective restrictions. A time and bareboat charter begins when the vessel is delivered to the charterer and ends when the vessel is redelivered back to its owner. The time and bareboat charter contracts are considered operating leases because (i) the vessel is an identifiable asset (ii) the owner of the vessel does not have substantive substitution rights and (iii) the charterer has the right to control the use of the vessel during the term of the contract and derives the economic benefits from such use. Revenues from time and bareboat charters are recognized ratably on a straight-line basis over the period of the respective charter. Under time charter agreements, all voyage expenses, except commissions are assumed by the charterer. Operating costs incurred for running the vessel such as crew costs, vessel insurance, repairs and maintenance and lubricants are paid by the owner under time charter agreements. Under bareboat charter agreements, all voyage, except commissions, and operating expenses, are assumed by the charterer. The Company applied the practical expedient included in Accounting Standards Codification (“ASC”) 842 and elected to not separate the lease and non-lease components included in the time and bareboat charter revenue because the pattern of revenue recognition for the lease and non-lease components (included in the daily hire rate) is the same and the lease component, if accounted for separately, would be classified as an operating lease. The daily hire rate represents the hire rate for a bareboat charter as well as the compensation for expenses for operating and maintaining the vessel such as crew costs, vessel insurance, repairs and maintenance and lubricants. Both the lease and non-lease components are earned by passage of time. The nature of the lease component and non-lease component that were combined as a result of applying the practical expedient are the contract for the hire of a vessel and the fees for operating and maintaining the vessel respectively. The lease component is the predominant component and the Company accounts for the combined component as an operating lease in accordance with Topic 842.</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Voyage charters contracts</w:t>
      </w:r>
    </w:p>
    <w:p>
      <w:pPr>
        <w:spacing w:after="0" w:line="1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3"/>
          <w:szCs w:val="13"/>
          <w:color w:val="auto"/>
        </w:rPr>
        <w:t>A voyage charter is a contract in which the vessel owner undertakes to transport a specific amount and type of cargo on a load port-to-discharge port basis, subject to various cargo handling terms. The Company accounts for a voyage charter when all the following criteria are met: (1) the parties to the contract have approved the contract in the form of a written charter agreement and are committed to perform their respective obligations, (2) the Company can identify each party’s rights regarding the services to be transferred, (3) the Company can identify the payment terms for the services to be transferred, (4) the charter agreement has commercial substance (that is, the risk, timing, or amount of the Company’s future cash flows is expected to change as a result of the contract) and (5) it is probable that the Company will collect substantially all of the consideration to which it will be entitled in exchange for the services that will be transferred to the charterer. The Company determined that its voyage charters consist of a single performance obligation which is met evenly as the voyage progresses and begins to be satisfied once the vessel is ready to load the cargo. The voyage charter party agreement generally has a demurrage/despatch clause according to which in the case of demurrage, the charterer reimburses the vessel owner for any potential delays exceeding the allowed lay time as per the charter party clause at the ports visited which is recorded as demurrage revenue. In the case of despatch, the owner reimburses the charterer for the earlier completion of cargo operations from the agreed time. Demurrage/despatch are recognized starting from the point that is determined that the amount can be estimated, and its collection/payment is probable and on a straight-line basis until the end of the voyage. Revenues from voyage charters are recognized on a straight-line basis over the voyage duration which commences once the vessel is ready to load the cargo and terminates upon the completion of the discharge of the cargo. Under ASC 606, receivables represent an entity’s unconditional right to consideration, whether billed or unbilled.</w:t>
      </w:r>
    </w:p>
    <w:p>
      <w:pPr>
        <w:spacing w:after="0" w:line="13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In voyage charters, vessel operating expenses and voyage expenses are paid for by the Company. The voyage charters are considered service contracts which fall under the provisions of ASC 606, because the Company retains control over the operations of the vessels, such as the routes taken or the vessels’ speed.</w:t>
      </w:r>
    </w:p>
    <w:p>
      <w:pPr>
        <w:spacing w:after="0" w:line="11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Payment terms under voyage charters are disclosed in the relevant voyage charter agreements and generally have standard payment terms of 90% to 95% of the freight which is paid within three days after the completion of the vessel’s loading.</w:t>
      </w:r>
    </w:p>
    <w:p>
      <w:pPr>
        <w:spacing w:after="0" w:line="64" w:lineRule="exact"/>
        <w:rPr>
          <w:sz w:val="20"/>
          <w:szCs w:val="20"/>
          <w:color w:val="auto"/>
        </w:rPr>
      </w:pPr>
    </w:p>
    <w:p>
      <w:pPr>
        <w:jc w:val="right"/>
        <w:spacing w:after="0"/>
        <w:tabs>
          <w:tab w:leader="none" w:pos="920" w:val="left"/>
        </w:tabs>
        <w:rPr>
          <w:sz w:val="20"/>
          <w:szCs w:val="20"/>
          <w:color w:val="auto"/>
        </w:rPr>
      </w:pPr>
      <w:r>
        <w:rPr>
          <w:rFonts w:ascii="Times New Roman" w:cs="Times New Roman" w:eastAsia="Times New Roman" w:hAnsi="Times New Roman"/>
          <w:sz w:val="13"/>
          <w:szCs w:val="13"/>
          <w:color w:val="auto"/>
        </w:rPr>
        <w:t>F- 8</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3"/>
          <w:szCs w:val="13"/>
          <w:b w:val="1"/>
          <w:bCs w:val="1"/>
          <w:color w:val="auto"/>
        </w:rPr>
        <w:t>Capital Clean Energy Carriers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United States Dollars, unless otherwise specified)</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 Significant Accounting Policies – Continued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 Accounting for revenue, voyage expenses and operating expenses - Continued: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Voyage charters contracts - Continued</w:t>
      </w:r>
    </w:p>
    <w:p>
      <w:pPr>
        <w:spacing w:after="0" w:line="1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Vessel voyage expenses are direct expenses to voyage revenues and primarily consist of brokerage commissions, port expenses, canal dues and bunkers. Brokerage commissions are paid to shipbrokers for their time and efforts for negotiating and arranging charter party agreements on behalf of the Company and are expensed over the related charter period. All other voyage expenses are expensed as incurred, except for expenses during the ballast portion of the voyage (period between the contract date and the date of the vessel’s arrival to the load port). Any expenses incurred during the ballast portion of the voyage such as bunker expenses, canal tolls and port expenses are deferred and are recognized on a straight-line basis, in voyage expenses, over the voyage duration as the Company satisfies the performance obligations under the contract provided these costs are (1) incurred to fulfill a contract that the Company can specifically identify, (2) able to generate or enhance resources of the Company that will be used to satisfy performance of the terms of the contract, and (3) expected to be recovered from the charterer. These costs are considered ‘contract fulfillment costs’ and are included in ‘prepayments and other assets’ in the consolidated balance sheets.</w:t>
      </w:r>
    </w:p>
    <w:p>
      <w:pPr>
        <w:spacing w:after="0" w:line="39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Vessel operating expenses presented in the consolidated financial statements mainly consist of crew, repairs and maintenance, insurance, stores, spares, lubricants, other operating expenses and management fees payable to the Company’s managers.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Vessel operating expenses are expensed as incurred.</w:t>
      </w:r>
    </w:p>
    <w:p>
      <w:pPr>
        <w:spacing w:after="0" w:line="166" w:lineRule="exact"/>
        <w:rPr>
          <w:sz w:val="20"/>
          <w:szCs w:val="20"/>
          <w:color w:val="auto"/>
        </w:rPr>
      </w:pPr>
    </w:p>
    <w:p>
      <w:pPr>
        <w:jc w:val="both"/>
        <w:spacing w:after="0" w:line="270" w:lineRule="auto"/>
        <w:tabs>
          <w:tab w:leader="none" w:pos="198" w:val="left"/>
        </w:tabs>
        <w:numPr>
          <w:ilvl w:val="0"/>
          <w:numId w:val="133"/>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xml:space="preserve">Foreign currency transactions: </w:t>
      </w:r>
      <w:r>
        <w:rPr>
          <w:rFonts w:ascii="Times New Roman" w:cs="Times New Roman" w:eastAsia="Times New Roman" w:hAnsi="Times New Roman"/>
          <w:sz w:val="13"/>
          <w:szCs w:val="13"/>
          <w:color w:val="auto"/>
        </w:rPr>
        <w:t>The functional currency of the Company is the U.S. Dollar because the Company’s vessels operate in international shipping markets that utilize the U.S. Dollar as the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functional currency. The accounting records of the Company are maintained in U.S. Dollars. Transactions involving other currencies during the year are converted into U.S. Dollars using the exchange rates in effect at the time of the transactions. At the balance sheet dates, monetary assets and liabilities, which are denominated in currencies other than the U.S. Dollar, are translated into the functional currency using the exchange rate at those dates. Gains or losses resulting from foreign currency transactions are included in “Other income, net” in the consolidated statements of comprehensive income.</w:t>
      </w:r>
    </w:p>
    <w:p>
      <w:pPr>
        <w:spacing w:after="0" w:line="125" w:lineRule="exact"/>
        <w:rPr>
          <w:rFonts w:ascii="Times New Roman" w:cs="Times New Roman" w:eastAsia="Times New Roman" w:hAnsi="Times New Roman"/>
          <w:sz w:val="13"/>
          <w:szCs w:val="13"/>
          <w:b w:val="1"/>
          <w:bCs w:val="1"/>
          <w:i w:val="1"/>
          <w:iCs w:val="1"/>
          <w:color w:val="auto"/>
        </w:rPr>
      </w:pPr>
    </w:p>
    <w:p>
      <w:pPr>
        <w:spacing w:after="0" w:line="299" w:lineRule="auto"/>
        <w:tabs>
          <w:tab w:leader="none" w:pos="181" w:val="left"/>
        </w:tabs>
        <w:numPr>
          <w:ilvl w:val="0"/>
          <w:numId w:val="133"/>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xml:space="preserve">Cash and cash equivalents: </w:t>
      </w:r>
      <w:r>
        <w:rPr>
          <w:rFonts w:ascii="Times New Roman" w:cs="Times New Roman" w:eastAsia="Times New Roman" w:hAnsi="Times New Roman"/>
          <w:sz w:val="13"/>
          <w:szCs w:val="13"/>
          <w:color w:val="auto"/>
        </w:rPr>
        <w:t>The Company considers highly liquid investments such as time deposits and certificates of deposit with an original maturity of three months or less to be cash equivalents. As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December 31, 2025, and 2024 the cash and cash equivalents of the Company were $273,843 and $312,654, respectively.</w:t>
      </w:r>
    </w:p>
    <w:p>
      <w:pPr>
        <w:spacing w:after="0" w:line="106" w:lineRule="exact"/>
        <w:rPr>
          <w:rFonts w:ascii="Times New Roman" w:cs="Times New Roman" w:eastAsia="Times New Roman" w:hAnsi="Times New Roman"/>
          <w:sz w:val="13"/>
          <w:szCs w:val="13"/>
          <w:b w:val="1"/>
          <w:bCs w:val="1"/>
          <w:i w:val="1"/>
          <w:iCs w:val="1"/>
          <w:color w:val="auto"/>
        </w:rPr>
      </w:pPr>
    </w:p>
    <w:p>
      <w:pPr>
        <w:spacing w:after="0" w:line="299" w:lineRule="auto"/>
        <w:tabs>
          <w:tab w:leader="none" w:pos="166" w:val="left"/>
        </w:tabs>
        <w:numPr>
          <w:ilvl w:val="0"/>
          <w:numId w:val="133"/>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xml:space="preserve">Restricted cash: </w:t>
      </w:r>
      <w:r>
        <w:rPr>
          <w:rFonts w:ascii="Times New Roman" w:cs="Times New Roman" w:eastAsia="Times New Roman" w:hAnsi="Times New Roman"/>
          <w:sz w:val="13"/>
          <w:szCs w:val="13"/>
          <w:color w:val="auto"/>
        </w:rPr>
        <w:t>The Company must maintain minimum cash deposits in order to comply with debt covenants under its credit facilities, sale and lease back agreements and unsecured bonds collectively the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“financing arrangements”. Such deposits are considered by the Company to be restricted cash. As of December 31, 2025, and 2024 the restricted cash of the Company were $21,047 and $22,521, respectively.</w:t>
      </w:r>
    </w:p>
    <w:p>
      <w:pPr>
        <w:spacing w:after="0" w:line="106" w:lineRule="exact"/>
        <w:rPr>
          <w:rFonts w:ascii="Times New Roman" w:cs="Times New Roman" w:eastAsia="Times New Roman" w:hAnsi="Times New Roman"/>
          <w:sz w:val="13"/>
          <w:szCs w:val="13"/>
          <w:b w:val="1"/>
          <w:bCs w:val="1"/>
          <w:i w:val="1"/>
          <w:iCs w:val="1"/>
          <w:color w:val="auto"/>
        </w:rPr>
      </w:pPr>
    </w:p>
    <w:p>
      <w:pPr>
        <w:jc w:val="both"/>
        <w:spacing w:after="0" w:line="270" w:lineRule="auto"/>
        <w:tabs>
          <w:tab w:leader="none" w:pos="188" w:val="left"/>
        </w:tabs>
        <w:numPr>
          <w:ilvl w:val="0"/>
          <w:numId w:val="133"/>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xml:space="preserve">Trade accounts receivable: </w:t>
      </w:r>
      <w:r>
        <w:rPr>
          <w:rFonts w:ascii="Times New Roman" w:cs="Times New Roman" w:eastAsia="Times New Roman" w:hAnsi="Times New Roman"/>
          <w:sz w:val="13"/>
          <w:szCs w:val="13"/>
          <w:color w:val="auto"/>
        </w:rPr>
        <w:t>The amount shown as trade accounts receivable primarily consists of earned revenue that has not been billed yet or that has been billed but has not yet been collected. At each</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balance sheet date, the Company assesses collectability by reviewing accounts receivable on a collective basis where similar characteristics exist and on an individual basis when the Company identifies specific charterers with known disputes or collectability concerns in order to determine the appropriate write-off. As of December 31, 2025, and 2024 the Company had trade accounts receivables of $8,437 and $3,689, respectively. For the years ended December 31, 2025, and 2024 the respective write off amounted to nil.</w:t>
      </w:r>
    </w:p>
    <w:p>
      <w:pPr>
        <w:spacing w:after="0" w:line="125" w:lineRule="exact"/>
        <w:rPr>
          <w:rFonts w:ascii="Times New Roman" w:cs="Times New Roman" w:eastAsia="Times New Roman" w:hAnsi="Times New Roman"/>
          <w:sz w:val="13"/>
          <w:szCs w:val="13"/>
          <w:b w:val="1"/>
          <w:bCs w:val="1"/>
          <w:i w:val="1"/>
          <w:iCs w:val="1"/>
          <w:color w:val="auto"/>
        </w:rPr>
      </w:pPr>
    </w:p>
    <w:p>
      <w:pPr>
        <w:jc w:val="both"/>
        <w:spacing w:after="0" w:line="278" w:lineRule="auto"/>
        <w:tabs>
          <w:tab w:leader="none" w:pos="206" w:val="left"/>
        </w:tabs>
        <w:numPr>
          <w:ilvl w:val="0"/>
          <w:numId w:val="133"/>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xml:space="preserve">Inventories: </w:t>
      </w:r>
      <w:r>
        <w:rPr>
          <w:rFonts w:ascii="Times New Roman" w:cs="Times New Roman" w:eastAsia="Times New Roman" w:hAnsi="Times New Roman"/>
          <w:sz w:val="13"/>
          <w:szCs w:val="13"/>
          <w:color w:val="auto"/>
        </w:rPr>
        <w:t>Inventories consist of consumable bunkers, lubricants, spares and stores and are stated at the lower of cost and net realizable value. Net realizable value is the estimated selling prices less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reasonably predictable costs of disposal and transportation. The cost is determined by the first-in, first-out method. As of December 31, 2025, and 2024 the value of the Company’s inventories was $3,982 and $4,427, respectively.</w:t>
      </w:r>
    </w:p>
    <w:p>
      <w:pPr>
        <w:spacing w:after="0" w:line="119" w:lineRule="exact"/>
        <w:rPr>
          <w:rFonts w:ascii="Times New Roman" w:cs="Times New Roman" w:eastAsia="Times New Roman" w:hAnsi="Times New Roman"/>
          <w:sz w:val="13"/>
          <w:szCs w:val="13"/>
          <w:b w:val="1"/>
          <w:bCs w:val="1"/>
          <w:i w:val="1"/>
          <w:iCs w:val="1"/>
          <w:color w:val="auto"/>
        </w:rPr>
      </w:pPr>
    </w:p>
    <w:p>
      <w:pPr>
        <w:jc w:val="both"/>
        <w:spacing w:after="0" w:line="270" w:lineRule="auto"/>
        <w:tabs>
          <w:tab w:leader="none" w:pos="159" w:val="left"/>
        </w:tabs>
        <w:numPr>
          <w:ilvl w:val="0"/>
          <w:numId w:val="133"/>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xml:space="preserve">Vessels held for sale: </w:t>
      </w:r>
      <w:r>
        <w:rPr>
          <w:rFonts w:ascii="Times New Roman" w:cs="Times New Roman" w:eastAsia="Times New Roman" w:hAnsi="Times New Roman"/>
          <w:sz w:val="13"/>
          <w:szCs w:val="13"/>
          <w:color w:val="auto"/>
        </w:rPr>
        <w:t>The Company classifies vessels as being held for sale when the following criteria are met: (i) management is committed to sell the asset; (ii) the asset is available for immediate sale in its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present condition; (iii) an active program to locate a buyer and other actions required to complete the plan to sell the asset have been initiated; (iv) the sale of the asset is probable, and transfer of the asset is expected to qualify for recognition as a completed sale within one year; (v) the asset is being actively marketed for sale at a price that is reasonable in relation to its current fair value; and (vi) actions required to complete the plan indicate that it is unlikely that significant changes to the plan will be made or that the plan will be withdrawn.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Vessels classified as held for sale are measured at the lower of their carrying amount or fair value less costs to sell. These vessels are not depreciated once they meet the criteria to be classified as held for sale.</w:t>
      </w:r>
    </w:p>
    <w:p>
      <w:pPr>
        <w:spacing w:after="0" w:line="33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3"/>
          <w:szCs w:val="13"/>
          <w:color w:val="auto"/>
        </w:rPr>
        <w:t>If a plan to sell a vessel is cancelled, the Company reclassifies the vessel as held for use and re-measures it at the lower of (i) its carrying amount before the vessel was classified as held for sale, adjusted for any depreciation expense that would have been recognized if the vessel had been continuously classified as held and used and (ii) its fair value at the date of the subsequent decision not to sell.</w:t>
      </w:r>
    </w:p>
    <w:p>
      <w:pPr>
        <w:spacing w:after="0" w:line="194" w:lineRule="exact"/>
        <w:rPr>
          <w:sz w:val="20"/>
          <w:szCs w:val="20"/>
          <w:color w:val="auto"/>
        </w:rPr>
      </w:pPr>
    </w:p>
    <w:p>
      <w:pPr>
        <w:jc w:val="right"/>
        <w:spacing w:after="0"/>
        <w:tabs>
          <w:tab w:leader="none" w:pos="920" w:val="left"/>
        </w:tabs>
        <w:rPr>
          <w:sz w:val="20"/>
          <w:szCs w:val="20"/>
          <w:color w:val="auto"/>
        </w:rPr>
      </w:pPr>
      <w:r>
        <w:rPr>
          <w:rFonts w:ascii="Times New Roman" w:cs="Times New Roman" w:eastAsia="Times New Roman" w:hAnsi="Times New Roman"/>
          <w:sz w:val="13"/>
          <w:szCs w:val="13"/>
          <w:color w:val="auto"/>
        </w:rPr>
        <w:t>F- 9</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3"/>
          <w:szCs w:val="13"/>
          <w:b w:val="1"/>
          <w:bCs w:val="1"/>
          <w:color w:val="auto"/>
        </w:rPr>
        <w:t>Capital Clean Energy Carriers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United States Dollars, unless otherwise specified)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 Significant Accounting Policies – Continued</w:t>
      </w:r>
    </w:p>
    <w:p>
      <w:pPr>
        <w:spacing w:after="0" w:line="118" w:lineRule="exact"/>
        <w:rPr>
          <w:sz w:val="20"/>
          <w:szCs w:val="20"/>
          <w:color w:val="auto"/>
        </w:rPr>
      </w:pPr>
    </w:p>
    <w:p>
      <w:pPr>
        <w:jc w:val="both"/>
        <w:spacing w:after="0" w:line="264" w:lineRule="auto"/>
        <w:tabs>
          <w:tab w:leader="none" w:pos="169" w:val="left"/>
        </w:tabs>
        <w:numPr>
          <w:ilvl w:val="0"/>
          <w:numId w:val="134"/>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xml:space="preserve">Fixed assets: </w:t>
      </w:r>
      <w:r>
        <w:rPr>
          <w:rFonts w:ascii="Times New Roman" w:cs="Times New Roman" w:eastAsia="Times New Roman" w:hAnsi="Times New Roman"/>
          <w:sz w:val="13"/>
          <w:szCs w:val="13"/>
          <w:color w:val="auto"/>
        </w:rPr>
        <w:t>Fixed assets consist of vessels, which are stated at cost, less accumulated depreciation and impairment if any. Vessel cost consists of the contract price for the vessel, any material expenses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incurred during its construction (improvements and delivery expenses, on-site supervision costs incurred during the construction periods, as well as capitalized interest expense during the construction period). Certain subsequent expenditures for major improvements and regulatory requirements are also capitalized if it is determined that they appreciably extend the life, increase the earning capacity or improve the efficiency or safety of the vessels. Vessels acquired through acquisition of businesses are recorded at their acquisition date fair values. Vessels acquired through asset acquisitions are recorded at cost. The cost of each of the Company’s vessels is depreciated, beginning when the vessel is ready for its intended use, on a straight-line basis over the vessel’s remaining economic useful life, after considering the estimated residual value. Management estimates the scrap value of the Company’s vessels to be $0.2 per light weight ton (“LWT”) and useful life to be 35 years for the LNG/C vessels and 25 years for the container carrier vessels (Notes 3, 6).</w:t>
      </w:r>
    </w:p>
    <w:p>
      <w:pPr>
        <w:spacing w:after="0" w:line="290" w:lineRule="exact"/>
        <w:rPr>
          <w:rFonts w:ascii="Times New Roman" w:cs="Times New Roman" w:eastAsia="Times New Roman" w:hAnsi="Times New Roman"/>
          <w:sz w:val="13"/>
          <w:szCs w:val="13"/>
          <w:b w:val="1"/>
          <w:bCs w:val="1"/>
          <w:i w:val="1"/>
          <w:iCs w:val="1"/>
          <w:color w:val="auto"/>
        </w:rPr>
      </w:pPr>
    </w:p>
    <w:p>
      <w:pPr>
        <w:jc w:val="both"/>
        <w:spacing w:after="0" w:line="270" w:lineRule="auto"/>
        <w:tabs>
          <w:tab w:leader="none" w:pos="188" w:val="left"/>
        </w:tabs>
        <w:numPr>
          <w:ilvl w:val="0"/>
          <w:numId w:val="134"/>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xml:space="preserve">Impairment of vessels: </w:t>
      </w:r>
      <w:r>
        <w:rPr>
          <w:rFonts w:ascii="Times New Roman" w:cs="Times New Roman" w:eastAsia="Times New Roman" w:hAnsi="Times New Roman"/>
          <w:sz w:val="13"/>
          <w:szCs w:val="13"/>
          <w:color w:val="auto"/>
        </w:rPr>
        <w:t>An impairment loss on vessels is recognized when indicators of impairment are present and the carrying amount of the assets group is greater than its fair value and is determined not to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be recoverable. In determining future benefits derived from use of the vessels, the Company performs an analysis of the anticipated undiscounted future net cash flows of the related vessel. If the carrying value of the asset, including any related intangible assets and liabilities, exceeds its undiscounted future net cash flows, the carrying value is reduced to its fair value. Various factors including future charter rates and vessel operating costs are included in this analysis.</w:t>
      </w:r>
    </w:p>
    <w:p>
      <w:pPr>
        <w:spacing w:after="0" w:line="13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As of December 31, 2025 and 2024, no indicators of impairment were present since the carrying amount of each vessel, including the book value of the attached time charter, if any, in the Company’s fleet did not exceed its respective charter-attached market value. Accordingly, no undiscounted cash flow tests were required to be performed for any of the Company’s vessels. For the years ended December 31, 2025, 2024 and 2023, the impairment loss was nil, nil and $11,157, respectively.</w:t>
      </w:r>
    </w:p>
    <w:p>
      <w:pPr>
        <w:spacing w:after="0" w:line="123" w:lineRule="exact"/>
        <w:rPr>
          <w:sz w:val="20"/>
          <w:szCs w:val="20"/>
          <w:color w:val="auto"/>
        </w:rPr>
      </w:pPr>
    </w:p>
    <w:p>
      <w:pPr>
        <w:jc w:val="both"/>
        <w:spacing w:after="0" w:line="278" w:lineRule="auto"/>
        <w:tabs>
          <w:tab w:leader="none" w:pos="159" w:val="left"/>
        </w:tabs>
        <w:numPr>
          <w:ilvl w:val="0"/>
          <w:numId w:val="135"/>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xml:space="preserve">Deferred charges, net: </w:t>
      </w:r>
      <w:r>
        <w:rPr>
          <w:rFonts w:ascii="Times New Roman" w:cs="Times New Roman" w:eastAsia="Times New Roman" w:hAnsi="Times New Roman"/>
          <w:sz w:val="13"/>
          <w:szCs w:val="13"/>
          <w:color w:val="auto"/>
        </w:rPr>
        <w:t>Deferred charges, net are comprised mainly of dry-docking costs. The Company’s vessels are required to be dry-docked every 30 to 60 months for major repairs and maintenance that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cannot be performed while the vessels are under operation. The Company has adopted the deferral method of accounting for dry-docking activities whereby costs incurred are deferred and amortized on a straight-line basis over the period until the next scheduled dry-docking activity. As of December 31, 2025, and 2024, the Company’s deferred charges, net amounted to $2,231 and nil, respectively.</w:t>
      </w:r>
    </w:p>
    <w:p>
      <w:pPr>
        <w:spacing w:after="0" w:line="119" w:lineRule="exact"/>
        <w:rPr>
          <w:rFonts w:ascii="Times New Roman" w:cs="Times New Roman" w:eastAsia="Times New Roman" w:hAnsi="Times New Roman"/>
          <w:sz w:val="13"/>
          <w:szCs w:val="13"/>
          <w:b w:val="1"/>
          <w:bCs w:val="1"/>
          <w:i w:val="1"/>
          <w:iCs w:val="1"/>
          <w:color w:val="auto"/>
        </w:rPr>
      </w:pPr>
    </w:p>
    <w:p>
      <w:pPr>
        <w:spacing w:after="0" w:line="299" w:lineRule="auto"/>
        <w:tabs>
          <w:tab w:leader="none" w:pos="225" w:val="left"/>
        </w:tabs>
        <w:numPr>
          <w:ilvl w:val="0"/>
          <w:numId w:val="135"/>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xml:space="preserve">Financing costs: </w:t>
      </w:r>
      <w:r>
        <w:rPr>
          <w:rFonts w:ascii="Times New Roman" w:cs="Times New Roman" w:eastAsia="Times New Roman" w:hAnsi="Times New Roman"/>
          <w:sz w:val="13"/>
          <w:szCs w:val="13"/>
          <w:color w:val="auto"/>
        </w:rPr>
        <w:t>Financing costs directly attributable to the construction of an asset that necessarily takes a substantial period of time to get ready for its intended use or sale are capitalized as part of the cost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of the asset. All other financing costs are expensed in the period in which they occur. Financing costs consist of interest and other costs that an entity incurs in connection with the borrowing of funds.</w:t>
      </w:r>
    </w:p>
    <w:p>
      <w:pPr>
        <w:spacing w:after="0" w:line="106" w:lineRule="exact"/>
        <w:rPr>
          <w:rFonts w:ascii="Times New Roman" w:cs="Times New Roman" w:eastAsia="Times New Roman" w:hAnsi="Times New Roman"/>
          <w:sz w:val="13"/>
          <w:szCs w:val="13"/>
          <w:b w:val="1"/>
          <w:bCs w:val="1"/>
          <w:i w:val="1"/>
          <w:iCs w:val="1"/>
          <w:color w:val="auto"/>
        </w:rPr>
      </w:pPr>
    </w:p>
    <w:p>
      <w:pPr>
        <w:jc w:val="both"/>
        <w:spacing w:after="0" w:line="267" w:lineRule="auto"/>
        <w:tabs>
          <w:tab w:leader="none" w:pos="206" w:val="left"/>
        </w:tabs>
        <w:numPr>
          <w:ilvl w:val="0"/>
          <w:numId w:val="135"/>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xml:space="preserve">Deferred financing costs: </w:t>
      </w:r>
      <w:r>
        <w:rPr>
          <w:rFonts w:ascii="Times New Roman" w:cs="Times New Roman" w:eastAsia="Times New Roman" w:hAnsi="Times New Roman"/>
          <w:sz w:val="13"/>
          <w:szCs w:val="13"/>
          <w:color w:val="auto"/>
        </w:rPr>
        <w:t>Deferred financing costs are costs incurred in connection with the issuance of a financing arrangement. Issuance costs are amortized over the term of the respective financing</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arrangement using the effective interest rate method and are included in the consolidated statement of comprehensive income in “Interest expense and finance cost”. The unamortized portion of the issuance costs are presented as a deduction from the Company’s corresponding liability. Any unamortized balance of the issuance costs relating to a financing arrangement extinguished is expensed in the period in which the extinguishment is made. Deferred financing costs relating to financing arrangements that have not yet drawn are presented in “Deferred charges, net” under non-current assets in the audited consolidated balance sheets.</w:t>
      </w:r>
    </w:p>
    <w:p>
      <w:pPr>
        <w:spacing w:after="0" w:line="126" w:lineRule="exact"/>
        <w:rPr>
          <w:rFonts w:ascii="Times New Roman" w:cs="Times New Roman" w:eastAsia="Times New Roman" w:hAnsi="Times New Roman"/>
          <w:sz w:val="13"/>
          <w:szCs w:val="13"/>
          <w:b w:val="1"/>
          <w:bCs w:val="1"/>
          <w:i w:val="1"/>
          <w:iCs w:val="1"/>
          <w:color w:val="auto"/>
        </w:rPr>
      </w:pPr>
    </w:p>
    <w:p>
      <w:pPr>
        <w:jc w:val="both"/>
        <w:spacing w:after="0" w:line="267" w:lineRule="auto"/>
        <w:tabs>
          <w:tab w:leader="none" w:pos="188" w:val="left"/>
        </w:tabs>
        <w:numPr>
          <w:ilvl w:val="0"/>
          <w:numId w:val="135"/>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xml:space="preserve">Intangible assets: </w:t>
      </w:r>
      <w:r>
        <w:rPr>
          <w:rFonts w:ascii="Times New Roman" w:cs="Times New Roman" w:eastAsia="Times New Roman" w:hAnsi="Times New Roman"/>
          <w:sz w:val="13"/>
          <w:szCs w:val="13"/>
          <w:color w:val="auto"/>
        </w:rPr>
        <w:t>When a company that owns a vessel is acquired with an existing charter agreement, the Company considers whether any value should be assigned to the attached charter agreement acquired.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 case of asset acquisitions, the acquisition consideration is allocated between the vessel and the attached charter agreement based on their relative fair values. The fair value of the attached charter agreement is based on the present value of the difference of the contractual charter rate of the agreement acquired and the prevailing market rate for a charter of equivalent duration at the time of the acquisition, determined by independent appraisers as at that date. The resulting above-market (assets) or below-market (liabilities) charters are amortized using the straight-line method as a reduction or increase, respectively, to revenues over the remaining term of the charters (Note 7).</w:t>
      </w:r>
    </w:p>
    <w:p>
      <w:pPr>
        <w:spacing w:after="0" w:line="126" w:lineRule="exact"/>
        <w:rPr>
          <w:rFonts w:ascii="Times New Roman" w:cs="Times New Roman" w:eastAsia="Times New Roman" w:hAnsi="Times New Roman"/>
          <w:sz w:val="13"/>
          <w:szCs w:val="13"/>
          <w:b w:val="1"/>
          <w:bCs w:val="1"/>
          <w:i w:val="1"/>
          <w:iCs w:val="1"/>
          <w:color w:val="auto"/>
        </w:rPr>
      </w:pPr>
    </w:p>
    <w:p>
      <w:pPr>
        <w:spacing w:after="0" w:line="299" w:lineRule="auto"/>
        <w:tabs>
          <w:tab w:leader="none" w:pos="198" w:val="left"/>
        </w:tabs>
        <w:numPr>
          <w:ilvl w:val="0"/>
          <w:numId w:val="135"/>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xml:space="preserve">Other comprehensive (loss) / income: </w:t>
      </w:r>
      <w:r>
        <w:rPr>
          <w:rFonts w:ascii="Times New Roman" w:cs="Times New Roman" w:eastAsia="Times New Roman" w:hAnsi="Times New Roman"/>
          <w:sz w:val="13"/>
          <w:szCs w:val="13"/>
          <w:color w:val="auto"/>
        </w:rPr>
        <w:t>The Company records certain transactions directly as components of Shareholders’ Equity. The Company’s other comprehensive (loss) / income was related to the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changes of the fair value of the derivatives designated as accounting hedge (Note 9).</w:t>
      </w:r>
    </w:p>
    <w:p>
      <w:pPr>
        <w:spacing w:after="0" w:line="106" w:lineRule="exact"/>
        <w:rPr>
          <w:rFonts w:ascii="Times New Roman" w:cs="Times New Roman" w:eastAsia="Times New Roman" w:hAnsi="Times New Roman"/>
          <w:sz w:val="13"/>
          <w:szCs w:val="13"/>
          <w:b w:val="1"/>
          <w:bCs w:val="1"/>
          <w:i w:val="1"/>
          <w:iCs w:val="1"/>
          <w:color w:val="auto"/>
        </w:rPr>
      </w:pPr>
    </w:p>
    <w:p>
      <w:pPr>
        <w:ind w:left="180" w:hanging="180"/>
        <w:spacing w:after="0"/>
        <w:tabs>
          <w:tab w:leader="none" w:pos="180" w:val="left"/>
        </w:tabs>
        <w:numPr>
          <w:ilvl w:val="0"/>
          <w:numId w:val="135"/>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Net income per share:</w:t>
      </w:r>
    </w:p>
    <w:p>
      <w:pPr>
        <w:spacing w:after="0" w:line="330" w:lineRule="exact"/>
        <w:rPr>
          <w:sz w:val="20"/>
          <w:szCs w:val="20"/>
          <w:color w:val="auto"/>
        </w:rPr>
      </w:pPr>
    </w:p>
    <w:p>
      <w:pPr>
        <w:jc w:val="both"/>
        <w:spacing w:after="0" w:line="267" w:lineRule="auto"/>
        <w:tabs>
          <w:tab w:leader="none" w:pos="164" w:val="left"/>
        </w:tabs>
        <w:numPr>
          <w:ilvl w:val="0"/>
          <w:numId w:val="136"/>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xml:space="preserve">Net income per common share: </w:t>
      </w:r>
      <w:r>
        <w:rPr>
          <w:rFonts w:ascii="Times New Roman" w:cs="Times New Roman" w:eastAsia="Times New Roman" w:hAnsi="Times New Roman"/>
          <w:sz w:val="13"/>
          <w:szCs w:val="13"/>
          <w:color w:val="auto"/>
        </w:rPr>
        <w:t>Basic net income per common share is computed by dividing net income available to common shareholders, by the weighted average number of common shares outstanding</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during the period. Diluted net income per common share reflects the potential dilution that could occur if securities were converted or other contracts to issue common stock were exercised at the beginning of the periods presented, or issuance date, if later. The treasury stock method is used to compute the dilutive effect of warrants issued, if any. The if-converted method is used to compute the dilutive effect of shares which could be issued upon conversion of the convertible securities, if any. Potential common shares that have an anti-dilutive effect (i.e., those that increase income per share or decrease loss per share) are excluded from the calculation of diluted net income per share (Note 16).</w:t>
      </w:r>
    </w:p>
    <w:p>
      <w:pPr>
        <w:spacing w:after="0" w:line="216" w:lineRule="exact"/>
        <w:rPr>
          <w:rFonts w:ascii="Times New Roman" w:cs="Times New Roman" w:eastAsia="Times New Roman" w:hAnsi="Times New Roman"/>
          <w:sz w:val="13"/>
          <w:szCs w:val="13"/>
          <w:b w:val="1"/>
          <w:bCs w:val="1"/>
          <w:i w:val="1"/>
          <w:iCs w:val="1"/>
          <w:color w:val="auto"/>
        </w:rPr>
      </w:pPr>
    </w:p>
    <w:p>
      <w:pPr>
        <w:jc w:val="both"/>
        <w:spacing w:after="0" w:line="278" w:lineRule="auto"/>
        <w:tabs>
          <w:tab w:leader="none" w:pos="196" w:val="left"/>
        </w:tabs>
        <w:numPr>
          <w:ilvl w:val="0"/>
          <w:numId w:val="136"/>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xml:space="preserve">Net income per Limited Partner share: </w:t>
      </w:r>
      <w:r>
        <w:rPr>
          <w:rFonts w:ascii="Times New Roman" w:cs="Times New Roman" w:eastAsia="Times New Roman" w:hAnsi="Times New Roman"/>
          <w:sz w:val="13"/>
          <w:szCs w:val="13"/>
          <w:color w:val="auto"/>
        </w:rPr>
        <w:t>Basic net income per limited partner share is calculated by dividing the Company’s net income less net income allocable to preferred shareholders, (if any), general</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partner’s interest in net income (including incentive distribution rights (“IDR”)) and net income allocable to unvested shares, by the weighted-average number of common shares outstanding during the period (Note 16). Diluted net income per limited partner share reflects the potential dilution that could occur if securities or other contracts to issue limited partner shares were exercised.</w:t>
      </w:r>
    </w:p>
    <w:p>
      <w:pPr>
        <w:spacing w:after="0" w:line="73" w:lineRule="exact"/>
        <w:rPr>
          <w:sz w:val="20"/>
          <w:szCs w:val="20"/>
          <w:color w:val="auto"/>
        </w:rPr>
      </w:pPr>
    </w:p>
    <w:p>
      <w:pPr>
        <w:jc w:val="right"/>
        <w:spacing w:after="0"/>
        <w:tabs>
          <w:tab w:leader="none" w:pos="920" w:val="left"/>
        </w:tabs>
        <w:rPr>
          <w:sz w:val="20"/>
          <w:szCs w:val="20"/>
          <w:color w:val="auto"/>
        </w:rPr>
      </w:pPr>
      <w:r>
        <w:rPr>
          <w:rFonts w:ascii="Times New Roman" w:cs="Times New Roman" w:eastAsia="Times New Roman" w:hAnsi="Times New Roman"/>
          <w:sz w:val="13"/>
          <w:szCs w:val="13"/>
          <w:color w:val="auto"/>
        </w:rPr>
        <w:t>F- 10</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3"/>
          <w:szCs w:val="13"/>
          <w:b w:val="1"/>
          <w:bCs w:val="1"/>
          <w:color w:val="auto"/>
        </w:rPr>
        <w:t>Capital Clean Energy Carriers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United States Dollars, unless otherwise specified)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 Significant Accounting Policies – Continued</w:t>
      </w:r>
    </w:p>
    <w:p>
      <w:pPr>
        <w:spacing w:after="0" w:line="108" w:lineRule="exact"/>
        <w:rPr>
          <w:sz w:val="20"/>
          <w:szCs w:val="20"/>
          <w:color w:val="auto"/>
        </w:rPr>
      </w:pPr>
    </w:p>
    <w:p>
      <w:pPr>
        <w:jc w:val="both"/>
        <w:spacing w:after="0" w:line="263" w:lineRule="auto"/>
        <w:tabs>
          <w:tab w:leader="none" w:pos="174" w:val="left"/>
        </w:tabs>
        <w:numPr>
          <w:ilvl w:val="0"/>
          <w:numId w:val="137"/>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xml:space="preserve">Segment reporting: </w:t>
      </w:r>
      <w:r>
        <w:rPr>
          <w:rFonts w:ascii="Times New Roman" w:cs="Times New Roman" w:eastAsia="Times New Roman" w:hAnsi="Times New Roman"/>
          <w:sz w:val="13"/>
          <w:szCs w:val="13"/>
          <w:color w:val="auto"/>
        </w:rPr>
        <w:t>The Company reports financial information and evaluates its operations by charter revenues and not by the length, type of vessel or type of ship employment for its customers, i.e. time,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bareboat or voyage charters. The Company does not use discrete financial information to evaluate the operating results for each such type of charter or vessel but is instead regularly provided with only the consolidated operating results as noted on the face of the consolidated statements of comprehensive income. Although revenue can be identified for these types of charters or vessels, management cannot and does not identify expenses, profitability or other financial information for these various types of charters or vessels. As a result, management, including the chief operating decision maker (CODM), who is the Company’s CEO, reviews operating results solely by revenue per day and the operating results of the fleet. The CODM assesses performance for the vessel operations segment and decides how to allocate resources based on consolidated net income. Thus, the Company has determined that it operates as one reportable segment. Furthermore, when the Company charters a vessel to a charterer, the charterer is free to trade the vessel worldwide and, as a result, the disclosure of geographic information is impracticable.</w:t>
      </w:r>
    </w:p>
    <w:p>
      <w:pPr>
        <w:spacing w:after="0" w:line="130" w:lineRule="exact"/>
        <w:rPr>
          <w:rFonts w:ascii="Times New Roman" w:cs="Times New Roman" w:eastAsia="Times New Roman" w:hAnsi="Times New Roman"/>
          <w:sz w:val="13"/>
          <w:szCs w:val="13"/>
          <w:b w:val="1"/>
          <w:bCs w:val="1"/>
          <w:i w:val="1"/>
          <w:iCs w:val="1"/>
          <w:color w:val="auto"/>
        </w:rPr>
      </w:pPr>
    </w:p>
    <w:p>
      <w:pPr>
        <w:jc w:val="both"/>
        <w:spacing w:after="0" w:line="270" w:lineRule="auto"/>
        <w:tabs>
          <w:tab w:leader="none" w:pos="174" w:val="left"/>
        </w:tabs>
        <w:numPr>
          <w:ilvl w:val="0"/>
          <w:numId w:val="137"/>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xml:space="preserve">Omnibus incentive compensation plan: </w:t>
      </w:r>
      <w:r>
        <w:rPr>
          <w:rFonts w:ascii="Times New Roman" w:cs="Times New Roman" w:eastAsia="Times New Roman" w:hAnsi="Times New Roman"/>
          <w:sz w:val="13"/>
          <w:szCs w:val="13"/>
          <w:color w:val="auto"/>
        </w:rPr>
        <w:t>Equity compensation expense represents vested and unvested shares granted to employees and to non-employee directors, for their services as directors, as well as to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non-employees and are included in general and administrative expenses in the consolidated statements of comprehensive income. These shares are measured at their fair value equal to the market value of the Company’s common shares on the grant date. The shares that contain a time-based service vesting condition are considered unvested shares on the grant date and the total fair value of such shares is recognized on a straight-line basis over the requisite service period. The Company accounts for forfeitures when incurred (Note 15).</w:t>
      </w:r>
    </w:p>
    <w:p>
      <w:pPr>
        <w:spacing w:after="0" w:line="125" w:lineRule="exact"/>
        <w:rPr>
          <w:rFonts w:ascii="Times New Roman" w:cs="Times New Roman" w:eastAsia="Times New Roman" w:hAnsi="Times New Roman"/>
          <w:sz w:val="13"/>
          <w:szCs w:val="13"/>
          <w:b w:val="1"/>
          <w:bCs w:val="1"/>
          <w:i w:val="1"/>
          <w:iCs w:val="1"/>
          <w:color w:val="auto"/>
        </w:rPr>
      </w:pPr>
    </w:p>
    <w:p>
      <w:pPr>
        <w:jc w:val="both"/>
        <w:spacing w:after="0" w:line="278" w:lineRule="auto"/>
        <w:tabs>
          <w:tab w:leader="none" w:pos="169" w:val="left"/>
        </w:tabs>
        <w:numPr>
          <w:ilvl w:val="0"/>
          <w:numId w:val="137"/>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xml:space="preserve">Treasury shares: </w:t>
      </w:r>
      <w:r>
        <w:rPr>
          <w:rFonts w:ascii="Times New Roman" w:cs="Times New Roman" w:eastAsia="Times New Roman" w:hAnsi="Times New Roman"/>
          <w:sz w:val="13"/>
          <w:szCs w:val="13"/>
          <w:color w:val="auto"/>
        </w:rPr>
        <w:t>The Company records the repurchase of its common shares at cost based on the settlement dates of repurchase transactions. These shares, which is a reduction to shareholders’ equity,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together with the shares that have been issued but not granted under the Company’s Omnibus Incentive Compensation Plan are classified as treasury shares. Treasury shares are included in authorized and issued shares but excluded from outstanding shares (Notes 14, 15).</w:t>
      </w:r>
    </w:p>
    <w:p>
      <w:pPr>
        <w:spacing w:after="0" w:line="119" w:lineRule="exact"/>
        <w:rPr>
          <w:rFonts w:ascii="Times New Roman" w:cs="Times New Roman" w:eastAsia="Times New Roman" w:hAnsi="Times New Roman"/>
          <w:sz w:val="13"/>
          <w:szCs w:val="13"/>
          <w:b w:val="1"/>
          <w:bCs w:val="1"/>
          <w:i w:val="1"/>
          <w:iCs w:val="1"/>
          <w:color w:val="auto"/>
        </w:rPr>
      </w:pPr>
    </w:p>
    <w:p>
      <w:pPr>
        <w:jc w:val="both"/>
        <w:spacing w:after="0" w:line="274" w:lineRule="auto"/>
        <w:tabs>
          <w:tab w:leader="none" w:pos="206" w:val="left"/>
        </w:tabs>
        <w:numPr>
          <w:ilvl w:val="0"/>
          <w:numId w:val="137"/>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xml:space="preserve">Fair value of financial instruments: </w:t>
      </w:r>
      <w:r>
        <w:rPr>
          <w:rFonts w:ascii="Times New Roman" w:cs="Times New Roman" w:eastAsia="Times New Roman" w:hAnsi="Times New Roman"/>
          <w:sz w:val="13"/>
          <w:szCs w:val="13"/>
          <w:color w:val="auto"/>
        </w:rPr>
        <w:t>The Company follows the accounting guidance for financial instruments that establishes a framework for measuring fair value under generally accepted accounting</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principles and expands disclosure about fair value measurements. This guidance enables the reader of the financial statements to assess the inputs used to develop those measurements by establishing a hierarchy for ranking the quality and reliability of the information used to determine fair values. The statement requires that assets and liabilities carried at fair value will be classified and disclosed in one of the following three categories: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Level 1: Inputs are quoted prices (unadjusted) in active markets for identical assets or liabilities that the reporting entity has the ability to access at the measurement date;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Level 2: Inputs are inputs other than quoted prices included within Level 1 that are observable for the asset or liability, either directly or indirectly; and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Level 3: Inputs are unobservable inputs for the asset or liability.</w:t>
      </w:r>
    </w:p>
    <w:p>
      <w:pPr>
        <w:spacing w:after="0" w:line="166" w:lineRule="exact"/>
        <w:rPr>
          <w:sz w:val="20"/>
          <w:szCs w:val="20"/>
          <w:color w:val="auto"/>
        </w:rPr>
      </w:pPr>
    </w:p>
    <w:p>
      <w:pPr>
        <w:jc w:val="both"/>
        <w:spacing w:after="0" w:line="261" w:lineRule="auto"/>
        <w:tabs>
          <w:tab w:leader="none" w:pos="201" w:val="left"/>
        </w:tabs>
        <w:numPr>
          <w:ilvl w:val="0"/>
          <w:numId w:val="138"/>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xml:space="preserve">Derivative instruments: </w:t>
      </w:r>
      <w:r>
        <w:rPr>
          <w:rFonts w:ascii="Times New Roman" w:cs="Times New Roman" w:eastAsia="Times New Roman" w:hAnsi="Times New Roman"/>
          <w:sz w:val="13"/>
          <w:szCs w:val="13"/>
          <w:color w:val="auto"/>
        </w:rPr>
        <w:t>The Company from time to time may enter into derivative instruments to hedge its exposure to foreign exchange or interest rate risks arising from operational, financing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investment activities. Derivatives are initially measured at fair value; attributable transaction costs are expensed as incurred.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foreign currency risk and interest rate risk, are considered fair value hedges. Derivatives designated and qualifying as a hedge of the exposure to variability in expected future cash flows are considered cash flow hedges.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in a cash flow hedge. When the derivatives do qualify for hedge accounting, depending upon the nature of the hedge, changes in fair value of the derivatives are either offset against the fair value of assets, liabilities or firm commitments through income, or recognized in other comprehensive income (effective portion) until the hedged item is recognized in the consolidated statements of comprehensive income. The Company may enter into derivative contracts that are intended to economically hedge certain of its risk, even though hedge accounting does not apply, or the Company elects not to apply hedge accounting to such contracts (Note 9).</w:t>
      </w:r>
    </w:p>
    <w:p>
      <w:pPr>
        <w:spacing w:after="0" w:line="290" w:lineRule="exact"/>
        <w:rPr>
          <w:rFonts w:ascii="Times New Roman" w:cs="Times New Roman" w:eastAsia="Times New Roman" w:hAnsi="Times New Roman"/>
          <w:sz w:val="13"/>
          <w:szCs w:val="13"/>
          <w:b w:val="1"/>
          <w:bCs w:val="1"/>
          <w:i w:val="1"/>
          <w:iCs w:val="1"/>
          <w:color w:val="auto"/>
        </w:rPr>
      </w:pPr>
    </w:p>
    <w:p>
      <w:pPr>
        <w:jc w:val="both"/>
        <w:spacing w:after="0" w:line="278" w:lineRule="auto"/>
        <w:tabs>
          <w:tab w:leader="none" w:pos="211" w:val="left"/>
        </w:tabs>
        <w:numPr>
          <w:ilvl w:val="0"/>
          <w:numId w:val="138"/>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xml:space="preserve">Discontinued operations: </w:t>
      </w:r>
      <w:r>
        <w:rPr>
          <w:rFonts w:ascii="Times New Roman" w:cs="Times New Roman" w:eastAsia="Times New Roman" w:hAnsi="Times New Roman"/>
          <w:sz w:val="13"/>
          <w:szCs w:val="13"/>
          <w:color w:val="auto"/>
        </w:rPr>
        <w:t>In accordance with Accounting Standards Update (‘ASU’) 2014-08, Reporting Discontinued Operations and Disclosures of Disposals of Components of an Entity, a disposal of 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component of an entity or a group of components of an entity is required to be reported in discontinued operations if the disposal represents a strategic shift that has (or will have) a major effect on an entity’s operations and financial results.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Allocation of Interest Expense to Discontinued Operations: The Company elects to allocate the interest on debt that is required to be repaid as a result of a disposal transaction to discontinued operations.</w:t>
      </w:r>
    </w:p>
    <w:p>
      <w:pPr>
        <w:spacing w:after="0" w:line="250" w:lineRule="exact"/>
        <w:rPr>
          <w:sz w:val="20"/>
          <w:szCs w:val="20"/>
          <w:color w:val="auto"/>
        </w:rPr>
      </w:pPr>
    </w:p>
    <w:p>
      <w:pPr>
        <w:jc w:val="right"/>
        <w:spacing w:after="0"/>
        <w:tabs>
          <w:tab w:leader="none" w:pos="920" w:val="left"/>
        </w:tabs>
        <w:rPr>
          <w:sz w:val="20"/>
          <w:szCs w:val="20"/>
          <w:color w:val="auto"/>
        </w:rPr>
      </w:pPr>
      <w:r>
        <w:rPr>
          <w:rFonts w:ascii="Times New Roman" w:cs="Times New Roman" w:eastAsia="Times New Roman" w:hAnsi="Times New Roman"/>
          <w:sz w:val="13"/>
          <w:szCs w:val="13"/>
          <w:color w:val="auto"/>
        </w:rPr>
        <w:t>F- 11</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3"/>
          <w:szCs w:val="13"/>
          <w:b w:val="1"/>
          <w:bCs w:val="1"/>
          <w:color w:val="auto"/>
        </w:rPr>
        <w:t>Capital Clean Energy Carriers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United States Dollars, unless otherwise specified)</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 Significant Accounting Policies – Continued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(x) Recent Accounting Pronouncements:</w:t>
      </w:r>
    </w:p>
    <w:p>
      <w:pPr>
        <w:spacing w:after="0" w:line="174" w:lineRule="exact"/>
        <w:rPr>
          <w:sz w:val="20"/>
          <w:szCs w:val="20"/>
          <w:color w:val="auto"/>
        </w:rPr>
      </w:pPr>
    </w:p>
    <w:p>
      <w:pPr>
        <w:jc w:val="both"/>
        <w:spacing w:after="0" w:line="274" w:lineRule="auto"/>
        <w:tabs>
          <w:tab w:leader="none" w:pos="168"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Disclosure Improvements: In November 2024, the Financial Accounting Standards Board issued Accounting Standard Update (“ASU”) No. 2024-03, “Income Statement-Reporting Comprehensive Income-Expense Disaggregation Disclosures (Subtopic 220-40)”. The amendments in this Update require disclosure, in the notes to financial statements, of specified information about certain costs and expenses. The amendments require that at each interim and annual reporting period an entity:</w:t>
      </w:r>
    </w:p>
    <w:p>
      <w:pPr>
        <w:spacing w:after="0" w:line="127" w:lineRule="exact"/>
        <w:rPr>
          <w:sz w:val="20"/>
          <w:szCs w:val="20"/>
          <w:color w:val="auto"/>
        </w:rPr>
      </w:pPr>
    </w:p>
    <w:p>
      <w:pPr>
        <w:jc w:val="both"/>
        <w:spacing w:after="0" w:line="274" w:lineRule="auto"/>
        <w:tabs>
          <w:tab w:leader="none" w:pos="134"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 the amounts of (a) purchases of inventory, (b) employee compensation, (c) depreciation, (d) intangible asset amortization, and (e) depreciation, depletion, and amortization recognized as part of oil and gas-producing activities (DD&amp;A) (or other amounts of depletion expense) included in each relevant expense caption. A relevant expense caption is an expense caption presented on the face of the income statement within continuing operations that contain any of the expense categories listed in (a)-(e).</w:t>
      </w:r>
    </w:p>
    <w:p>
      <w:pPr>
        <w:spacing w:after="0" w:line="126" w:lineRule="exact"/>
        <w:rPr>
          <w:rFonts w:ascii="Times New Roman" w:cs="Times New Roman" w:eastAsia="Times New Roman" w:hAnsi="Times New Roman"/>
          <w:sz w:val="13"/>
          <w:szCs w:val="13"/>
          <w:color w:val="auto"/>
        </w:rPr>
      </w:pPr>
    </w:p>
    <w:p>
      <w:pPr>
        <w:ind w:left="140" w:hanging="140"/>
        <w:spacing w:after="0"/>
        <w:tabs>
          <w:tab w:leader="none" w:pos="140"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 certain amounts that are already required to be disclosed under current generally accepted accounting principles (GAAP) in the same disclosure as the other disaggregation requirements.</w:t>
      </w:r>
    </w:p>
    <w:p>
      <w:pPr>
        <w:spacing w:after="0" w:line="169" w:lineRule="exact"/>
        <w:rPr>
          <w:rFonts w:ascii="Times New Roman" w:cs="Times New Roman" w:eastAsia="Times New Roman" w:hAnsi="Times New Roman"/>
          <w:sz w:val="13"/>
          <w:szCs w:val="13"/>
          <w:color w:val="auto"/>
        </w:rPr>
      </w:pPr>
    </w:p>
    <w:p>
      <w:pPr>
        <w:ind w:left="140" w:hanging="140"/>
        <w:spacing w:after="0"/>
        <w:tabs>
          <w:tab w:leader="none" w:pos="140"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 a qualitative description of the amounts remaining in relevant expense captions that are not separately disaggregated quantitatively.</w:t>
      </w:r>
    </w:p>
    <w:p>
      <w:pPr>
        <w:spacing w:after="0" w:line="169" w:lineRule="exact"/>
        <w:rPr>
          <w:rFonts w:ascii="Times New Roman" w:cs="Times New Roman" w:eastAsia="Times New Roman" w:hAnsi="Times New Roman"/>
          <w:sz w:val="13"/>
          <w:szCs w:val="13"/>
          <w:color w:val="auto"/>
        </w:rPr>
      </w:pPr>
    </w:p>
    <w:p>
      <w:pPr>
        <w:ind w:left="140" w:hanging="140"/>
        <w:spacing w:after="0"/>
        <w:tabs>
          <w:tab w:leader="none" w:pos="140"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 the total amount of selling expenses and, in annual reporting periods, an entity’s definition of selling expenses.</w:t>
      </w:r>
    </w:p>
    <w:p>
      <w:pPr>
        <w:spacing w:after="0" w:line="17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The amendments in this Update are effective for annual reporting periods beginning after December 15, 2026, and interim reporting periods within annual reporting periods beginning after December 15, 2027. Early adoption is permitted. The amendments in ASU 2024-03 should be applied either (1) prospectively to financial statements issued for reporting periods after the effective date of this Update or (2) retrospectively to any or all prior periods presented in the financial statements. The Company is currently evaluating the impact, if any, of the adoption of this ASU.</w:t>
      </w:r>
    </w:p>
    <w:p>
      <w:pPr>
        <w:spacing w:after="0" w:line="127" w:lineRule="exact"/>
        <w:rPr>
          <w:sz w:val="20"/>
          <w:szCs w:val="20"/>
          <w:color w:val="auto"/>
        </w:rPr>
      </w:pPr>
    </w:p>
    <w:p>
      <w:pPr>
        <w:jc w:val="both"/>
        <w:spacing w:after="0" w:line="265" w:lineRule="auto"/>
        <w:tabs>
          <w:tab w:leader="none" w:pos="212"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July 2025, the FASB issued ASU No. 2025-05, “Financial Instruments—Credit Losses (Topic 326): Measurement of Credit Losses for Accounts Receivable and Contract Assets”. The ASU 2025-05 provides a practical expedient that all entities may elect to use when estimating expected credit losses for current accounts receivable and current contract assets arising from transactions accounted for under ASC 606, Revenue from Contracts with Customers, by allowing them to assume that current conditions as of the balance sheet date will not change for the remaining life of the asset. ASU 2025-05 is effective for annual reporting periods beginning after December 15, 2025, and interim reporting periods within those periods, with early adoption permitted. The Company is currently evaluating the impact, if any, that the adoption of ASU 2025-05 will have on its consolidated financial statements and related disclosures.</w:t>
      </w:r>
    </w:p>
    <w:p>
      <w:pPr>
        <w:spacing w:after="0" w:line="132" w:lineRule="exact"/>
        <w:rPr>
          <w:rFonts w:ascii="Times New Roman" w:cs="Times New Roman" w:eastAsia="Times New Roman" w:hAnsi="Times New Roman"/>
          <w:sz w:val="13"/>
          <w:szCs w:val="13"/>
          <w:color w:val="auto"/>
        </w:rPr>
      </w:pPr>
    </w:p>
    <w:p>
      <w:pPr>
        <w:jc w:val="both"/>
        <w:spacing w:after="0" w:line="262" w:lineRule="auto"/>
        <w:tabs>
          <w:tab w:leader="none" w:pos="243"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December 2025 the FASB issued ASU No. 2025-12 to clarify, correct errors in or make other improvements to a broad range of topics in the ASC, including ASC 260, Earnings Per Share; ASC 325, Investments — Other; and ASC 958, Not-for-Profit Entities. The guidance is effective for all entities for annual reporting periods beginning after 15 December 2026, and interim periods within those annual periods. Early adoption is permitted. Entities are required to apply the amendments to ASC 260 retrospectively to each prior reporting period presented in the period of adoption. Entities can apply all other amendments in the period of adoption either (1) prospectively to all new transactions recognized on or after the date that the entity first applies the amendments or (2) retrospectively to the beginning of the earliest comparative period presented, with an adjustment to the opening balance of retained earnings (or other appropriate components of equity or net assets in the statement of financial position) as of the beginning of the earliest comparative period presented. An entity may elect the transition method on an issue-by-issue basis (except for the ASC 260 amendments). The Company is currently evaluating the impact the adoption of ASU No. 2025-12 will have on its consolidated financial statements and related disclosures.</w:t>
      </w:r>
    </w:p>
    <w:p>
      <w:pPr>
        <w:spacing w:after="0" w:line="245" w:lineRule="exact"/>
        <w:rPr>
          <w:sz w:val="20"/>
          <w:szCs w:val="20"/>
          <w:color w:val="auto"/>
        </w:rPr>
      </w:pPr>
    </w:p>
    <w:p>
      <w:pPr>
        <w:jc w:val="right"/>
        <w:spacing w:after="0"/>
        <w:tabs>
          <w:tab w:leader="none" w:pos="920" w:val="left"/>
        </w:tabs>
        <w:rPr>
          <w:sz w:val="20"/>
          <w:szCs w:val="20"/>
          <w:color w:val="auto"/>
        </w:rPr>
      </w:pPr>
      <w:r>
        <w:rPr>
          <w:rFonts w:ascii="Times New Roman" w:cs="Times New Roman" w:eastAsia="Times New Roman" w:hAnsi="Times New Roman"/>
          <w:sz w:val="13"/>
          <w:szCs w:val="13"/>
          <w:color w:val="auto"/>
        </w:rPr>
        <w:t>F- 12</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3"/>
          <w:szCs w:val="13"/>
          <w:b w:val="1"/>
          <w:bCs w:val="1"/>
          <w:color w:val="auto"/>
        </w:rPr>
        <w:t>Capital Clean Energy Carriers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United States Dollars, unless otherwise specified)</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3. Discontinued Operations</w:t>
      </w:r>
    </w:p>
    <w:p>
      <w:pPr>
        <w:spacing w:after="0" w:line="11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Following the announcement of the Company on November 13, 2023, of its intention to shift its business focus towards LNG and energy transition shipping and gradually divest from its non-core assets, taking advantage of the attractive vessel valuations, the Company entered into 14 MOAs with third parties for the disposal of 14 container carrier vessels. The Company determined that the assets and liabilities, results of operations and cash flows of the 14 container carrier vessels met the criteria to be reported in discontinued operations. The container carrier vessels that the Company sold following the announcement are listed below.</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60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3"/>
                <w:szCs w:val="13"/>
                <w:b w:val="1"/>
                <w:bCs w:val="1"/>
                <w:color w:val="auto"/>
              </w:rPr>
              <w:t>Name of Vessel</w:t>
            </w:r>
          </w:p>
        </w:tc>
        <w:tc>
          <w:tcPr>
            <w:tcW w:w="25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Type</w:t>
            </w:r>
          </w:p>
        </w:tc>
        <w:tc>
          <w:tcPr>
            <w:tcW w:w="13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3"/>
                <w:szCs w:val="13"/>
                <w:b w:val="1"/>
                <w:bCs w:val="1"/>
                <w:color w:val="auto"/>
              </w:rPr>
              <w:t>TEU</w:t>
            </w:r>
          </w:p>
        </w:tc>
        <w:tc>
          <w:tcPr>
            <w:tcW w:w="19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3"/>
                <w:szCs w:val="13"/>
                <w:b w:val="1"/>
                <w:bCs w:val="1"/>
                <w:color w:val="auto"/>
              </w:rPr>
              <w:t>MOA Date</w:t>
            </w:r>
          </w:p>
        </w:tc>
        <w:tc>
          <w:tcPr>
            <w:tcW w:w="29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3"/>
                <w:szCs w:val="13"/>
                <w:b w:val="1"/>
                <w:bCs w:val="1"/>
                <w:color w:val="auto"/>
              </w:rPr>
              <w:t>Delivery</w:t>
            </w:r>
          </w:p>
        </w:tc>
      </w:tr>
      <w:tr>
        <w:trPr>
          <w:trHeight w:val="150"/>
        </w:trPr>
        <w:tc>
          <w:tcPr>
            <w:tcW w:w="2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M/V Akadimos</w:t>
            </w: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Neo Panamax Container Vessel</w:t>
            </w:r>
          </w:p>
        </w:tc>
        <w:tc>
          <w:tcPr>
            <w:tcW w:w="1320" w:type="dxa"/>
            <w:vAlign w:val="bottom"/>
            <w:shd w:val="clear" w:color="auto" w:fill="CCEEFF"/>
          </w:tcPr>
          <w:p>
            <w:pPr>
              <w:jc w:val="center"/>
              <w:ind w:left="393"/>
              <w:spacing w:after="0"/>
              <w:rPr>
                <w:sz w:val="20"/>
                <w:szCs w:val="20"/>
                <w:color w:val="auto"/>
              </w:rPr>
            </w:pPr>
            <w:r>
              <w:rPr>
                <w:rFonts w:ascii="Times New Roman" w:cs="Times New Roman" w:eastAsia="Times New Roman" w:hAnsi="Times New Roman"/>
                <w:sz w:val="13"/>
                <w:szCs w:val="13"/>
                <w:color w:val="auto"/>
              </w:rPr>
              <w:t>9,288</w:t>
            </w:r>
          </w:p>
        </w:tc>
        <w:tc>
          <w:tcPr>
            <w:tcW w:w="1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January 31, 2024</w:t>
            </w:r>
          </w:p>
        </w:tc>
        <w:tc>
          <w:tcPr>
            <w:tcW w:w="2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March 8, 2024</w:t>
            </w:r>
          </w:p>
        </w:tc>
      </w:tr>
      <w:tr>
        <w:trPr>
          <w:trHeight w:val="160"/>
        </w:trPr>
        <w:tc>
          <w:tcPr>
            <w:tcW w:w="26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M/V Long Beach Express</w:t>
            </w:r>
          </w:p>
        </w:tc>
        <w:tc>
          <w:tcPr>
            <w:tcW w:w="2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Panamax Container Vessel</w:t>
            </w:r>
          </w:p>
        </w:tc>
        <w:tc>
          <w:tcPr>
            <w:tcW w:w="1320" w:type="dxa"/>
            <w:vAlign w:val="bottom"/>
          </w:tcPr>
          <w:p>
            <w:pPr>
              <w:jc w:val="center"/>
              <w:ind w:left="393"/>
              <w:spacing w:after="0"/>
              <w:rPr>
                <w:sz w:val="20"/>
                <w:szCs w:val="20"/>
                <w:color w:val="auto"/>
              </w:rPr>
            </w:pPr>
            <w:r>
              <w:rPr>
                <w:rFonts w:ascii="Times New Roman" w:cs="Times New Roman" w:eastAsia="Times New Roman" w:hAnsi="Times New Roman"/>
                <w:sz w:val="13"/>
                <w:szCs w:val="13"/>
                <w:color w:val="auto"/>
              </w:rPr>
              <w:t>5,089</w:t>
            </w:r>
          </w:p>
        </w:tc>
        <w:tc>
          <w:tcPr>
            <w:tcW w:w="19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December 15, 2023</w:t>
            </w:r>
          </w:p>
        </w:tc>
        <w:tc>
          <w:tcPr>
            <w:tcW w:w="290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February 26, 2024</w:t>
            </w:r>
          </w:p>
        </w:tc>
      </w:tr>
      <w:tr>
        <w:trPr>
          <w:trHeight w:val="160"/>
        </w:trPr>
        <w:tc>
          <w:tcPr>
            <w:tcW w:w="2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M/V Seattle Express</w:t>
            </w: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Panamax Container Vessel</w:t>
            </w:r>
          </w:p>
        </w:tc>
        <w:tc>
          <w:tcPr>
            <w:tcW w:w="1320" w:type="dxa"/>
            <w:vAlign w:val="bottom"/>
            <w:shd w:val="clear" w:color="auto" w:fill="CCEEFF"/>
          </w:tcPr>
          <w:p>
            <w:pPr>
              <w:jc w:val="center"/>
              <w:ind w:left="393"/>
              <w:spacing w:after="0"/>
              <w:rPr>
                <w:sz w:val="20"/>
                <w:szCs w:val="20"/>
                <w:color w:val="auto"/>
              </w:rPr>
            </w:pPr>
            <w:r>
              <w:rPr>
                <w:rFonts w:ascii="Times New Roman" w:cs="Times New Roman" w:eastAsia="Times New Roman" w:hAnsi="Times New Roman"/>
                <w:sz w:val="13"/>
                <w:szCs w:val="13"/>
                <w:color w:val="auto"/>
              </w:rPr>
              <w:t>5,089</w:t>
            </w:r>
          </w:p>
        </w:tc>
        <w:tc>
          <w:tcPr>
            <w:tcW w:w="1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February 14, 2024</w:t>
            </w:r>
          </w:p>
        </w:tc>
        <w:tc>
          <w:tcPr>
            <w:tcW w:w="2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April 26, 2024</w:t>
            </w:r>
          </w:p>
        </w:tc>
      </w:tr>
      <w:tr>
        <w:trPr>
          <w:trHeight w:val="160"/>
        </w:trPr>
        <w:tc>
          <w:tcPr>
            <w:tcW w:w="26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M/V Fos Express</w:t>
            </w:r>
          </w:p>
        </w:tc>
        <w:tc>
          <w:tcPr>
            <w:tcW w:w="2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Panamax Container Vessel</w:t>
            </w:r>
          </w:p>
        </w:tc>
        <w:tc>
          <w:tcPr>
            <w:tcW w:w="1320" w:type="dxa"/>
            <w:vAlign w:val="bottom"/>
          </w:tcPr>
          <w:p>
            <w:pPr>
              <w:jc w:val="center"/>
              <w:ind w:left="393"/>
              <w:spacing w:after="0"/>
              <w:rPr>
                <w:sz w:val="20"/>
                <w:szCs w:val="20"/>
                <w:color w:val="auto"/>
              </w:rPr>
            </w:pPr>
            <w:r>
              <w:rPr>
                <w:rFonts w:ascii="Times New Roman" w:cs="Times New Roman" w:eastAsia="Times New Roman" w:hAnsi="Times New Roman"/>
                <w:sz w:val="13"/>
                <w:szCs w:val="13"/>
                <w:color w:val="auto"/>
              </w:rPr>
              <w:t>5,089</w:t>
            </w:r>
          </w:p>
        </w:tc>
        <w:tc>
          <w:tcPr>
            <w:tcW w:w="19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February 14, 2024</w:t>
            </w:r>
          </w:p>
        </w:tc>
        <w:tc>
          <w:tcPr>
            <w:tcW w:w="290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May 3, 2024</w:t>
            </w:r>
          </w:p>
        </w:tc>
      </w:tr>
      <w:tr>
        <w:trPr>
          <w:trHeight w:val="160"/>
        </w:trPr>
        <w:tc>
          <w:tcPr>
            <w:tcW w:w="2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M/V Athenian</w:t>
            </w: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Neo Panamax Container Vessel</w:t>
            </w:r>
          </w:p>
        </w:tc>
        <w:tc>
          <w:tcPr>
            <w:tcW w:w="1320" w:type="dxa"/>
            <w:vAlign w:val="bottom"/>
            <w:shd w:val="clear" w:color="auto" w:fill="CCEEFF"/>
          </w:tcPr>
          <w:p>
            <w:pPr>
              <w:jc w:val="center"/>
              <w:ind w:left="393"/>
              <w:spacing w:after="0"/>
              <w:rPr>
                <w:sz w:val="20"/>
                <w:szCs w:val="20"/>
                <w:color w:val="auto"/>
              </w:rPr>
            </w:pPr>
            <w:r>
              <w:rPr>
                <w:rFonts w:ascii="Times New Roman" w:cs="Times New Roman" w:eastAsia="Times New Roman" w:hAnsi="Times New Roman"/>
                <w:sz w:val="13"/>
                <w:szCs w:val="13"/>
                <w:color w:val="auto"/>
              </w:rPr>
              <w:t>9,954</w:t>
            </w:r>
          </w:p>
        </w:tc>
        <w:tc>
          <w:tcPr>
            <w:tcW w:w="1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March 1, 2024</w:t>
            </w:r>
          </w:p>
        </w:tc>
        <w:tc>
          <w:tcPr>
            <w:tcW w:w="2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April 22, 2024</w:t>
            </w:r>
          </w:p>
        </w:tc>
      </w:tr>
      <w:tr>
        <w:trPr>
          <w:trHeight w:val="160"/>
        </w:trPr>
        <w:tc>
          <w:tcPr>
            <w:tcW w:w="26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M/V Athos</w:t>
            </w:r>
          </w:p>
        </w:tc>
        <w:tc>
          <w:tcPr>
            <w:tcW w:w="2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Neo Panamax Container Vessel</w:t>
            </w:r>
          </w:p>
        </w:tc>
        <w:tc>
          <w:tcPr>
            <w:tcW w:w="1320" w:type="dxa"/>
            <w:vAlign w:val="bottom"/>
          </w:tcPr>
          <w:p>
            <w:pPr>
              <w:jc w:val="center"/>
              <w:ind w:left="393"/>
              <w:spacing w:after="0"/>
              <w:rPr>
                <w:sz w:val="20"/>
                <w:szCs w:val="20"/>
                <w:color w:val="auto"/>
              </w:rPr>
            </w:pPr>
            <w:r>
              <w:rPr>
                <w:rFonts w:ascii="Times New Roman" w:cs="Times New Roman" w:eastAsia="Times New Roman" w:hAnsi="Times New Roman"/>
                <w:sz w:val="13"/>
                <w:szCs w:val="13"/>
                <w:color w:val="auto"/>
              </w:rPr>
              <w:t>9,954</w:t>
            </w:r>
          </w:p>
        </w:tc>
        <w:tc>
          <w:tcPr>
            <w:tcW w:w="19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March 1, 2024</w:t>
            </w:r>
          </w:p>
        </w:tc>
        <w:tc>
          <w:tcPr>
            <w:tcW w:w="290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April 22, 2024</w:t>
            </w:r>
          </w:p>
        </w:tc>
      </w:tr>
      <w:tr>
        <w:trPr>
          <w:trHeight w:val="160"/>
        </w:trPr>
        <w:tc>
          <w:tcPr>
            <w:tcW w:w="2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M/V Aristomenis</w:t>
            </w: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Neo Panamax Container Vessel</w:t>
            </w:r>
          </w:p>
        </w:tc>
        <w:tc>
          <w:tcPr>
            <w:tcW w:w="1320" w:type="dxa"/>
            <w:vAlign w:val="bottom"/>
            <w:shd w:val="clear" w:color="auto" w:fill="CCEEFF"/>
          </w:tcPr>
          <w:p>
            <w:pPr>
              <w:jc w:val="center"/>
              <w:ind w:left="393"/>
              <w:spacing w:after="0"/>
              <w:rPr>
                <w:sz w:val="20"/>
                <w:szCs w:val="20"/>
                <w:color w:val="auto"/>
              </w:rPr>
            </w:pPr>
            <w:r>
              <w:rPr>
                <w:rFonts w:ascii="Times New Roman" w:cs="Times New Roman" w:eastAsia="Times New Roman" w:hAnsi="Times New Roman"/>
                <w:sz w:val="13"/>
                <w:szCs w:val="13"/>
                <w:color w:val="auto"/>
              </w:rPr>
              <w:t>9,954</w:t>
            </w:r>
          </w:p>
        </w:tc>
        <w:tc>
          <w:tcPr>
            <w:tcW w:w="1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March 1, 2024</w:t>
            </w:r>
          </w:p>
        </w:tc>
        <w:tc>
          <w:tcPr>
            <w:tcW w:w="2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May 3, 2024</w:t>
            </w:r>
          </w:p>
        </w:tc>
      </w:tr>
      <w:tr>
        <w:trPr>
          <w:trHeight w:val="160"/>
        </w:trPr>
        <w:tc>
          <w:tcPr>
            <w:tcW w:w="26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M/V Hyundai Premium</w:t>
            </w:r>
          </w:p>
        </w:tc>
        <w:tc>
          <w:tcPr>
            <w:tcW w:w="2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Neo Panamax Container Vessel</w:t>
            </w:r>
          </w:p>
        </w:tc>
        <w:tc>
          <w:tcPr>
            <w:tcW w:w="1320" w:type="dxa"/>
            <w:vAlign w:val="bottom"/>
          </w:tcPr>
          <w:p>
            <w:pPr>
              <w:jc w:val="center"/>
              <w:ind w:left="393"/>
              <w:spacing w:after="0"/>
              <w:rPr>
                <w:sz w:val="20"/>
                <w:szCs w:val="20"/>
                <w:color w:val="auto"/>
              </w:rPr>
            </w:pPr>
            <w:r>
              <w:rPr>
                <w:rFonts w:ascii="Times New Roman" w:cs="Times New Roman" w:eastAsia="Times New Roman" w:hAnsi="Times New Roman"/>
                <w:sz w:val="13"/>
                <w:szCs w:val="13"/>
                <w:color w:val="auto"/>
              </w:rPr>
              <w:t>5,023</w:t>
            </w:r>
          </w:p>
        </w:tc>
        <w:tc>
          <w:tcPr>
            <w:tcW w:w="19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September 12, 2024</w:t>
            </w:r>
          </w:p>
        </w:tc>
        <w:tc>
          <w:tcPr>
            <w:tcW w:w="290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November 22, 2024</w:t>
            </w:r>
          </w:p>
        </w:tc>
      </w:tr>
      <w:tr>
        <w:trPr>
          <w:trHeight w:val="160"/>
        </w:trPr>
        <w:tc>
          <w:tcPr>
            <w:tcW w:w="2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M/V Hyundai Paramount</w:t>
            </w: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Neo Panamax Container Vessel</w:t>
            </w:r>
          </w:p>
        </w:tc>
        <w:tc>
          <w:tcPr>
            <w:tcW w:w="1320" w:type="dxa"/>
            <w:vAlign w:val="bottom"/>
            <w:shd w:val="clear" w:color="auto" w:fill="CCEEFF"/>
          </w:tcPr>
          <w:p>
            <w:pPr>
              <w:jc w:val="center"/>
              <w:ind w:left="393"/>
              <w:spacing w:after="0"/>
              <w:rPr>
                <w:sz w:val="20"/>
                <w:szCs w:val="20"/>
                <w:color w:val="auto"/>
              </w:rPr>
            </w:pPr>
            <w:r>
              <w:rPr>
                <w:rFonts w:ascii="Times New Roman" w:cs="Times New Roman" w:eastAsia="Times New Roman" w:hAnsi="Times New Roman"/>
                <w:sz w:val="13"/>
                <w:szCs w:val="13"/>
                <w:color w:val="auto"/>
              </w:rPr>
              <w:t>5,023</w:t>
            </w:r>
          </w:p>
        </w:tc>
        <w:tc>
          <w:tcPr>
            <w:tcW w:w="1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September 12, 2024</w:t>
            </w:r>
          </w:p>
        </w:tc>
        <w:tc>
          <w:tcPr>
            <w:tcW w:w="2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December 20, 2024</w:t>
            </w:r>
          </w:p>
        </w:tc>
      </w:tr>
      <w:tr>
        <w:trPr>
          <w:trHeight w:val="160"/>
        </w:trPr>
        <w:tc>
          <w:tcPr>
            <w:tcW w:w="26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M/V Hyundai Prestige</w:t>
            </w:r>
          </w:p>
        </w:tc>
        <w:tc>
          <w:tcPr>
            <w:tcW w:w="2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Neo Panamax Container Vessel</w:t>
            </w:r>
          </w:p>
        </w:tc>
        <w:tc>
          <w:tcPr>
            <w:tcW w:w="1320" w:type="dxa"/>
            <w:vAlign w:val="bottom"/>
          </w:tcPr>
          <w:p>
            <w:pPr>
              <w:jc w:val="center"/>
              <w:ind w:left="393"/>
              <w:spacing w:after="0"/>
              <w:rPr>
                <w:sz w:val="20"/>
                <w:szCs w:val="20"/>
                <w:color w:val="auto"/>
              </w:rPr>
            </w:pPr>
            <w:r>
              <w:rPr>
                <w:rFonts w:ascii="Times New Roman" w:cs="Times New Roman" w:eastAsia="Times New Roman" w:hAnsi="Times New Roman"/>
                <w:sz w:val="13"/>
                <w:szCs w:val="13"/>
                <w:color w:val="auto"/>
              </w:rPr>
              <w:t>5,023</w:t>
            </w:r>
          </w:p>
        </w:tc>
        <w:tc>
          <w:tcPr>
            <w:tcW w:w="19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September 12, 2024</w:t>
            </w:r>
          </w:p>
        </w:tc>
        <w:tc>
          <w:tcPr>
            <w:tcW w:w="290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December 5, 2024</w:t>
            </w:r>
          </w:p>
        </w:tc>
      </w:tr>
      <w:tr>
        <w:trPr>
          <w:trHeight w:val="160"/>
        </w:trPr>
        <w:tc>
          <w:tcPr>
            <w:tcW w:w="2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M/V Hyundai Privilege</w:t>
            </w: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Neo Panamax Container Vessel</w:t>
            </w:r>
          </w:p>
        </w:tc>
        <w:tc>
          <w:tcPr>
            <w:tcW w:w="1320" w:type="dxa"/>
            <w:vAlign w:val="bottom"/>
            <w:shd w:val="clear" w:color="auto" w:fill="CCEEFF"/>
          </w:tcPr>
          <w:p>
            <w:pPr>
              <w:jc w:val="center"/>
              <w:ind w:left="393"/>
              <w:spacing w:after="0"/>
              <w:rPr>
                <w:sz w:val="20"/>
                <w:szCs w:val="20"/>
                <w:color w:val="auto"/>
              </w:rPr>
            </w:pPr>
            <w:r>
              <w:rPr>
                <w:rFonts w:ascii="Times New Roman" w:cs="Times New Roman" w:eastAsia="Times New Roman" w:hAnsi="Times New Roman"/>
                <w:sz w:val="13"/>
                <w:szCs w:val="13"/>
                <w:color w:val="auto"/>
              </w:rPr>
              <w:t>5,023</w:t>
            </w:r>
          </w:p>
        </w:tc>
        <w:tc>
          <w:tcPr>
            <w:tcW w:w="1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September 12, 2024</w:t>
            </w:r>
          </w:p>
        </w:tc>
        <w:tc>
          <w:tcPr>
            <w:tcW w:w="2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January 10, 2025</w:t>
            </w:r>
          </w:p>
        </w:tc>
      </w:tr>
      <w:tr>
        <w:trPr>
          <w:trHeight w:val="160"/>
        </w:trPr>
        <w:tc>
          <w:tcPr>
            <w:tcW w:w="26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M/V Hyundai Platinum</w:t>
            </w:r>
          </w:p>
        </w:tc>
        <w:tc>
          <w:tcPr>
            <w:tcW w:w="2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Neo Panamax Container Vessel</w:t>
            </w:r>
          </w:p>
        </w:tc>
        <w:tc>
          <w:tcPr>
            <w:tcW w:w="1320" w:type="dxa"/>
            <w:vAlign w:val="bottom"/>
          </w:tcPr>
          <w:p>
            <w:pPr>
              <w:jc w:val="center"/>
              <w:ind w:left="393"/>
              <w:spacing w:after="0"/>
              <w:rPr>
                <w:sz w:val="20"/>
                <w:szCs w:val="20"/>
                <w:color w:val="auto"/>
              </w:rPr>
            </w:pPr>
            <w:r>
              <w:rPr>
                <w:rFonts w:ascii="Times New Roman" w:cs="Times New Roman" w:eastAsia="Times New Roman" w:hAnsi="Times New Roman"/>
                <w:sz w:val="13"/>
                <w:szCs w:val="13"/>
                <w:color w:val="auto"/>
              </w:rPr>
              <w:t>5,023</w:t>
            </w:r>
          </w:p>
        </w:tc>
        <w:tc>
          <w:tcPr>
            <w:tcW w:w="19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September 12, 2024</w:t>
            </w:r>
          </w:p>
        </w:tc>
        <w:tc>
          <w:tcPr>
            <w:tcW w:w="290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March 10, 2025</w:t>
            </w:r>
          </w:p>
        </w:tc>
      </w:tr>
      <w:tr>
        <w:trPr>
          <w:trHeight w:val="160"/>
        </w:trPr>
        <w:tc>
          <w:tcPr>
            <w:tcW w:w="2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M/V Manzanillo Express</w:t>
            </w: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Neo Panamax Container Vessel</w:t>
            </w:r>
          </w:p>
        </w:tc>
        <w:tc>
          <w:tcPr>
            <w:tcW w:w="1320" w:type="dxa"/>
            <w:vAlign w:val="bottom"/>
            <w:shd w:val="clear" w:color="auto" w:fill="CCEEFF"/>
          </w:tcPr>
          <w:p>
            <w:pPr>
              <w:jc w:val="center"/>
              <w:ind w:left="413"/>
              <w:spacing w:after="0"/>
              <w:rPr>
                <w:sz w:val="20"/>
                <w:szCs w:val="20"/>
                <w:color w:val="auto"/>
              </w:rPr>
            </w:pPr>
            <w:r>
              <w:rPr>
                <w:rFonts w:ascii="Times New Roman" w:cs="Times New Roman" w:eastAsia="Times New Roman" w:hAnsi="Times New Roman"/>
                <w:sz w:val="13"/>
                <w:szCs w:val="13"/>
                <w:color w:val="auto"/>
              </w:rPr>
              <w:t>13,312</w:t>
            </w:r>
          </w:p>
        </w:tc>
        <w:tc>
          <w:tcPr>
            <w:tcW w:w="1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August 7, 2025</w:t>
            </w:r>
          </w:p>
        </w:tc>
        <w:tc>
          <w:tcPr>
            <w:tcW w:w="2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October 6, 2025</w:t>
            </w:r>
          </w:p>
        </w:tc>
      </w:tr>
      <w:tr>
        <w:trPr>
          <w:trHeight w:val="173"/>
        </w:trPr>
        <w:tc>
          <w:tcPr>
            <w:tcW w:w="26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M/V Buenaventura Express</w:t>
            </w:r>
          </w:p>
        </w:tc>
        <w:tc>
          <w:tcPr>
            <w:tcW w:w="2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Neo Panamax Container Vessel</w:t>
            </w:r>
          </w:p>
        </w:tc>
        <w:tc>
          <w:tcPr>
            <w:tcW w:w="1320" w:type="dxa"/>
            <w:vAlign w:val="bottom"/>
          </w:tcPr>
          <w:p>
            <w:pPr>
              <w:jc w:val="center"/>
              <w:ind w:left="413"/>
              <w:spacing w:after="0"/>
              <w:rPr>
                <w:sz w:val="20"/>
                <w:szCs w:val="20"/>
                <w:color w:val="auto"/>
              </w:rPr>
            </w:pPr>
            <w:r>
              <w:rPr>
                <w:rFonts w:ascii="Times New Roman" w:cs="Times New Roman" w:eastAsia="Times New Roman" w:hAnsi="Times New Roman"/>
                <w:sz w:val="13"/>
                <w:szCs w:val="13"/>
                <w:color w:val="auto"/>
              </w:rPr>
              <w:t>13,696</w:t>
            </w:r>
          </w:p>
        </w:tc>
        <w:tc>
          <w:tcPr>
            <w:tcW w:w="19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October 29, 2025</w:t>
            </w:r>
          </w:p>
        </w:tc>
        <w:tc>
          <w:tcPr>
            <w:tcW w:w="290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January 19, 2026</w:t>
            </w: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Summarized selected operating results of the discontinued operations for the years ended December 31, 2025, 2024 and 2023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120" w:type="dxa"/>
            <w:vAlign w:val="bottom"/>
            <w:gridSpan w:val="4"/>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060" w:type="dxa"/>
            <w:vAlign w:val="bottom"/>
          </w:tcPr>
          <w:p>
            <w:pPr>
              <w:spacing w:after="0"/>
              <w:rPr>
                <w:sz w:val="13"/>
                <w:szCs w:val="13"/>
                <w:color w:val="auto"/>
              </w:rPr>
            </w:pPr>
          </w:p>
        </w:tc>
      </w:tr>
      <w:tr>
        <w:trPr>
          <w:trHeight w:val="174"/>
        </w:trPr>
        <w:tc>
          <w:tcPr>
            <w:tcW w:w="65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0"/>
        </w:trPr>
        <w:tc>
          <w:tcPr>
            <w:tcW w:w="65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60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28,886</w:t>
            </w: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100,439</w:t>
            </w: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141,390</w:t>
            </w:r>
          </w:p>
        </w:tc>
      </w:tr>
      <w:tr>
        <w:trPr>
          <w:trHeight w:val="150"/>
        </w:trPr>
        <w:tc>
          <w:tcPr>
            <w:tcW w:w="65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6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0"/>
        </w:trPr>
        <w:tc>
          <w:tcPr>
            <w:tcW w:w="6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Voyage expenses</w:t>
            </w:r>
          </w:p>
        </w:tc>
        <w:tc>
          <w:tcPr>
            <w:tcW w:w="60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662</w:t>
            </w: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2,114</w:t>
            </w:r>
          </w:p>
        </w:tc>
        <w:tc>
          <w:tcPr>
            <w:tcW w:w="4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3,301</w:t>
            </w:r>
          </w:p>
        </w:tc>
      </w:tr>
      <w:tr>
        <w:trPr>
          <w:trHeight w:val="160"/>
        </w:trPr>
        <w:tc>
          <w:tcPr>
            <w:tcW w:w="6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Vessel operating expenses</w:t>
            </w:r>
          </w:p>
        </w:tc>
        <w:tc>
          <w:tcPr>
            <w:tcW w:w="600" w:type="dxa"/>
            <w:vAlign w:val="bottom"/>
          </w:tcPr>
          <w:p>
            <w:pPr>
              <w:spacing w:after="0"/>
              <w:rPr>
                <w:sz w:val="13"/>
                <w:szCs w:val="13"/>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6,390</w:t>
            </w:r>
          </w:p>
        </w:tc>
        <w:tc>
          <w:tcPr>
            <w:tcW w:w="440" w:type="dxa"/>
            <w:vAlign w:val="bottom"/>
          </w:tcPr>
          <w:p>
            <w:pPr>
              <w:spacing w:after="0"/>
              <w:rPr>
                <w:sz w:val="13"/>
                <w:szCs w:val="13"/>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22,536</w:t>
            </w:r>
          </w:p>
        </w:tc>
        <w:tc>
          <w:tcPr>
            <w:tcW w:w="4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36,862</w:t>
            </w:r>
          </w:p>
        </w:tc>
      </w:tr>
      <w:tr>
        <w:trPr>
          <w:trHeight w:val="160"/>
        </w:trPr>
        <w:tc>
          <w:tcPr>
            <w:tcW w:w="6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Vessel operating expenses - related party</w:t>
            </w:r>
          </w:p>
        </w:tc>
        <w:tc>
          <w:tcPr>
            <w:tcW w:w="60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836</w:t>
            </w: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3,443</w:t>
            </w:r>
          </w:p>
        </w:tc>
        <w:tc>
          <w:tcPr>
            <w:tcW w:w="4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4,734</w:t>
            </w:r>
          </w:p>
        </w:tc>
      </w:tr>
      <w:tr>
        <w:trPr>
          <w:trHeight w:val="160"/>
        </w:trPr>
        <w:tc>
          <w:tcPr>
            <w:tcW w:w="6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Vessel depreciation and amortization</w:t>
            </w:r>
          </w:p>
        </w:tc>
        <w:tc>
          <w:tcPr>
            <w:tcW w:w="600" w:type="dxa"/>
            <w:vAlign w:val="bottom"/>
          </w:tcPr>
          <w:p>
            <w:pPr>
              <w:spacing w:after="0"/>
              <w:rPr>
                <w:sz w:val="13"/>
                <w:szCs w:val="13"/>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6,983</w:t>
            </w:r>
          </w:p>
        </w:tc>
        <w:tc>
          <w:tcPr>
            <w:tcW w:w="440" w:type="dxa"/>
            <w:vAlign w:val="bottom"/>
          </w:tcPr>
          <w:p>
            <w:pPr>
              <w:spacing w:after="0"/>
              <w:rPr>
                <w:sz w:val="13"/>
                <w:szCs w:val="13"/>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20,720</w:t>
            </w:r>
          </w:p>
        </w:tc>
        <w:tc>
          <w:tcPr>
            <w:tcW w:w="4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36,640</w:t>
            </w:r>
          </w:p>
        </w:tc>
      </w:tr>
      <w:tr>
        <w:trPr>
          <w:trHeight w:val="160"/>
        </w:trPr>
        <w:tc>
          <w:tcPr>
            <w:tcW w:w="6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Impairment of vessel</w:t>
            </w:r>
          </w:p>
        </w:tc>
        <w:tc>
          <w:tcPr>
            <w:tcW w:w="60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w:t>
            </w:r>
          </w:p>
        </w:tc>
      </w:tr>
      <w:tr>
        <w:trPr>
          <w:trHeight w:val="160"/>
        </w:trPr>
        <w:tc>
          <w:tcPr>
            <w:tcW w:w="6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Gain on sale of vessels</w:t>
            </w:r>
          </w:p>
        </w:tc>
        <w:tc>
          <w:tcPr>
            <w:tcW w:w="6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(53,705)</w:t>
            </w: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(103,807)</w:t>
            </w:r>
          </w:p>
        </w:tc>
        <w:tc>
          <w:tcPr>
            <w:tcW w:w="4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0"/>
        </w:trPr>
        <w:tc>
          <w:tcPr>
            <w:tcW w:w="65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Operating income, net</w:t>
            </w:r>
          </w:p>
        </w:tc>
        <w:tc>
          <w:tcPr>
            <w:tcW w:w="6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67,720</w:t>
            </w:r>
          </w:p>
        </w:tc>
        <w:tc>
          <w:tcPr>
            <w:tcW w:w="4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155,433</w:t>
            </w:r>
          </w:p>
        </w:tc>
        <w:tc>
          <w:tcPr>
            <w:tcW w:w="4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59,513</w:t>
            </w:r>
          </w:p>
        </w:tc>
      </w:tr>
      <w:tr>
        <w:trPr>
          <w:trHeight w:val="150"/>
        </w:trPr>
        <w:tc>
          <w:tcPr>
            <w:tcW w:w="65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Other (expense) / income, net:</w:t>
            </w:r>
          </w:p>
        </w:tc>
        <w:tc>
          <w:tcPr>
            <w:tcW w:w="6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0"/>
        </w:trPr>
        <w:tc>
          <w:tcPr>
            <w:tcW w:w="6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Interest expense and finance cost (including $304 to related party, for the years ended December 31, 2024 and 2023)</w:t>
            </w:r>
          </w:p>
        </w:tc>
        <w:tc>
          <w:tcPr>
            <w:tcW w:w="60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(10,572)</w:t>
            </w: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(17,203)</w:t>
            </w:r>
          </w:p>
        </w:tc>
        <w:tc>
          <w:tcPr>
            <w:tcW w:w="4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(20,528)</w:t>
            </w:r>
          </w:p>
        </w:tc>
      </w:tr>
      <w:tr>
        <w:trPr>
          <w:trHeight w:val="160"/>
        </w:trPr>
        <w:tc>
          <w:tcPr>
            <w:tcW w:w="6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Other income / (expense), net</w:t>
            </w:r>
          </w:p>
        </w:tc>
        <w:tc>
          <w:tcPr>
            <w:tcW w:w="6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217</w:t>
            </w: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214</w:t>
            </w:r>
          </w:p>
        </w:tc>
        <w:tc>
          <w:tcPr>
            <w:tcW w:w="4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50"/>
        </w:trPr>
        <w:tc>
          <w:tcPr>
            <w:tcW w:w="65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 other expense, net</w:t>
            </w:r>
          </w:p>
        </w:tc>
        <w:tc>
          <w:tcPr>
            <w:tcW w:w="6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(10,355)</w:t>
            </w:r>
          </w:p>
        </w:tc>
        <w:tc>
          <w:tcPr>
            <w:tcW w:w="4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(16,989)</w:t>
            </w:r>
          </w:p>
        </w:tc>
        <w:tc>
          <w:tcPr>
            <w:tcW w:w="4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(20,552)</w:t>
            </w:r>
          </w:p>
        </w:tc>
      </w:tr>
      <w:tr>
        <w:trPr>
          <w:trHeight w:val="150"/>
        </w:trPr>
        <w:tc>
          <w:tcPr>
            <w:tcW w:w="6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Net income from discontinued operations</w:t>
            </w:r>
          </w:p>
        </w:tc>
        <w:tc>
          <w:tcPr>
            <w:tcW w:w="6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57,365</w:t>
            </w:r>
          </w:p>
        </w:tc>
        <w:tc>
          <w:tcPr>
            <w:tcW w:w="4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138,444</w:t>
            </w:r>
          </w:p>
        </w:tc>
        <w:tc>
          <w:tcPr>
            <w:tcW w:w="4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38,961</w:t>
            </w: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Summarized selected balance sheet information from discontinued operations as of December 31, 2025 and 2024, was as follows: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36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26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As of December 31,</w:t>
            </w:r>
          </w:p>
        </w:tc>
      </w:tr>
      <w:tr>
        <w:trPr>
          <w:trHeight w:val="174"/>
        </w:trPr>
        <w:tc>
          <w:tcPr>
            <w:tcW w:w="4360" w:type="dxa"/>
            <w:vAlign w:val="bottom"/>
            <w:tcBorders>
              <w:bottom w:val="single" w:sz="8" w:color="auto"/>
            </w:tcBorders>
          </w:tcPr>
          <w:p>
            <w:pPr>
              <w:spacing w:after="0"/>
              <w:rPr>
                <w:sz w:val="15"/>
                <w:szCs w:val="15"/>
                <w:color w:val="auto"/>
              </w:rPr>
            </w:pPr>
          </w:p>
        </w:tc>
        <w:tc>
          <w:tcPr>
            <w:tcW w:w="40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2025</w:t>
            </w: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0"/>
        </w:trPr>
        <w:tc>
          <w:tcPr>
            <w:tcW w:w="4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40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680</w:t>
            </w: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1,371</w:t>
            </w:r>
          </w:p>
        </w:tc>
      </w:tr>
      <w:tr>
        <w:trPr>
          <w:trHeight w:val="160"/>
        </w:trPr>
        <w:tc>
          <w:tcPr>
            <w:tcW w:w="43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Trade accounts receivable</w:t>
            </w:r>
          </w:p>
        </w:tc>
        <w:tc>
          <w:tcPr>
            <w:tcW w:w="4060" w:type="dxa"/>
            <w:vAlign w:val="bottom"/>
          </w:tcPr>
          <w:p>
            <w:pPr>
              <w:spacing w:after="0"/>
              <w:rPr>
                <w:sz w:val="13"/>
                <w:szCs w:val="13"/>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92</w:t>
            </w:r>
          </w:p>
        </w:tc>
        <w:tc>
          <w:tcPr>
            <w:tcW w:w="26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800</w:t>
            </w:r>
          </w:p>
        </w:tc>
      </w:tr>
      <w:tr>
        <w:trPr>
          <w:trHeight w:val="160"/>
        </w:trPr>
        <w:tc>
          <w:tcPr>
            <w:tcW w:w="4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Prepayments and other assets</w:t>
            </w:r>
          </w:p>
        </w:tc>
        <w:tc>
          <w:tcPr>
            <w:tcW w:w="406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1,205</w:t>
            </w:r>
          </w:p>
        </w:tc>
        <w:tc>
          <w:tcPr>
            <w:tcW w:w="2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1,226</w:t>
            </w:r>
          </w:p>
        </w:tc>
      </w:tr>
      <w:tr>
        <w:trPr>
          <w:trHeight w:val="160"/>
        </w:trPr>
        <w:tc>
          <w:tcPr>
            <w:tcW w:w="43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Inventories</w:t>
            </w:r>
          </w:p>
        </w:tc>
        <w:tc>
          <w:tcPr>
            <w:tcW w:w="4060" w:type="dxa"/>
            <w:vAlign w:val="bottom"/>
          </w:tcPr>
          <w:p>
            <w:pPr>
              <w:spacing w:after="0"/>
              <w:rPr>
                <w:sz w:val="13"/>
                <w:szCs w:val="13"/>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417</w:t>
            </w:r>
          </w:p>
        </w:tc>
      </w:tr>
      <w:tr>
        <w:trPr>
          <w:trHeight w:val="160"/>
        </w:trPr>
        <w:tc>
          <w:tcPr>
            <w:tcW w:w="4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Claims</w:t>
            </w:r>
          </w:p>
        </w:tc>
        <w:tc>
          <w:tcPr>
            <w:tcW w:w="406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49</w:t>
            </w:r>
          </w:p>
        </w:tc>
        <w:tc>
          <w:tcPr>
            <w:tcW w:w="2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60"/>
        </w:trPr>
        <w:tc>
          <w:tcPr>
            <w:tcW w:w="4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Assets held for sale</w:t>
            </w:r>
          </w:p>
        </w:tc>
        <w:tc>
          <w:tcPr>
            <w:tcW w:w="40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122,212</w:t>
            </w: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71,720</w:t>
            </w:r>
          </w:p>
        </w:tc>
      </w:tr>
      <w:tr>
        <w:trPr>
          <w:trHeight w:val="150"/>
        </w:trPr>
        <w:tc>
          <w:tcPr>
            <w:tcW w:w="43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Current assets of discontinued operations</w:t>
            </w:r>
          </w:p>
        </w:tc>
        <w:tc>
          <w:tcPr>
            <w:tcW w:w="406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124,238</w:t>
            </w:r>
          </w:p>
        </w:tc>
        <w:tc>
          <w:tcPr>
            <w:tcW w:w="26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75,583</w:t>
            </w:r>
          </w:p>
        </w:tc>
      </w:tr>
      <w:tr>
        <w:trPr>
          <w:trHeight w:val="150"/>
        </w:trPr>
        <w:tc>
          <w:tcPr>
            <w:tcW w:w="4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Vessels, net</w:t>
            </w:r>
          </w:p>
        </w:tc>
        <w:tc>
          <w:tcPr>
            <w:tcW w:w="40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237,645</w:t>
            </w:r>
          </w:p>
        </w:tc>
      </w:tr>
      <w:tr>
        <w:trPr>
          <w:trHeight w:val="150"/>
        </w:trPr>
        <w:tc>
          <w:tcPr>
            <w:tcW w:w="43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Non-current assets of discontinued operations</w:t>
            </w:r>
          </w:p>
        </w:tc>
        <w:tc>
          <w:tcPr>
            <w:tcW w:w="406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237,645</w:t>
            </w:r>
          </w:p>
        </w:tc>
      </w:tr>
      <w:tr>
        <w:trPr>
          <w:trHeight w:val="150"/>
        </w:trPr>
        <w:tc>
          <w:tcPr>
            <w:tcW w:w="43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Current portion of long-term debt, net</w:t>
            </w:r>
          </w:p>
        </w:tc>
        <w:tc>
          <w:tcPr>
            <w:tcW w:w="4060" w:type="dxa"/>
            <w:vAlign w:val="bottom"/>
          </w:tcPr>
          <w:p>
            <w:pPr>
              <w:spacing w:after="0"/>
              <w:rPr>
                <w:sz w:val="13"/>
                <w:szCs w:val="13"/>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11,257</w:t>
            </w:r>
          </w:p>
        </w:tc>
      </w:tr>
      <w:tr>
        <w:trPr>
          <w:trHeight w:val="160"/>
        </w:trPr>
        <w:tc>
          <w:tcPr>
            <w:tcW w:w="4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Trade accounts payable</w:t>
            </w:r>
          </w:p>
        </w:tc>
        <w:tc>
          <w:tcPr>
            <w:tcW w:w="406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2,446</w:t>
            </w:r>
          </w:p>
        </w:tc>
        <w:tc>
          <w:tcPr>
            <w:tcW w:w="2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3,530</w:t>
            </w:r>
          </w:p>
        </w:tc>
      </w:tr>
      <w:tr>
        <w:trPr>
          <w:trHeight w:val="160"/>
        </w:trPr>
        <w:tc>
          <w:tcPr>
            <w:tcW w:w="43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Accrued liabilities</w:t>
            </w:r>
          </w:p>
        </w:tc>
        <w:tc>
          <w:tcPr>
            <w:tcW w:w="4060" w:type="dxa"/>
            <w:vAlign w:val="bottom"/>
          </w:tcPr>
          <w:p>
            <w:pPr>
              <w:spacing w:after="0"/>
              <w:rPr>
                <w:sz w:val="13"/>
                <w:szCs w:val="13"/>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9,017</w:t>
            </w:r>
          </w:p>
        </w:tc>
        <w:tc>
          <w:tcPr>
            <w:tcW w:w="26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13,440</w:t>
            </w:r>
          </w:p>
        </w:tc>
      </w:tr>
      <w:tr>
        <w:trPr>
          <w:trHeight w:val="160"/>
        </w:trPr>
        <w:tc>
          <w:tcPr>
            <w:tcW w:w="4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Deferred revenue</w:t>
            </w:r>
          </w:p>
        </w:tc>
        <w:tc>
          <w:tcPr>
            <w:tcW w:w="406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903</w:t>
            </w:r>
          </w:p>
        </w:tc>
      </w:tr>
      <w:tr>
        <w:trPr>
          <w:trHeight w:val="160"/>
        </w:trPr>
        <w:tc>
          <w:tcPr>
            <w:tcW w:w="4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Liabilities associated with vessel held for sale</w:t>
            </w:r>
          </w:p>
        </w:tc>
        <w:tc>
          <w:tcPr>
            <w:tcW w:w="40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92,051</w:t>
            </w:r>
          </w:p>
        </w:tc>
        <w:tc>
          <w:tcPr>
            <w:tcW w:w="2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0"/>
        </w:trPr>
        <w:tc>
          <w:tcPr>
            <w:tcW w:w="43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Current liabilities of discontinued operations</w:t>
            </w:r>
          </w:p>
        </w:tc>
        <w:tc>
          <w:tcPr>
            <w:tcW w:w="406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103,514</w:t>
            </w:r>
          </w:p>
        </w:tc>
        <w:tc>
          <w:tcPr>
            <w:tcW w:w="26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29,130</w:t>
            </w:r>
          </w:p>
        </w:tc>
      </w:tr>
      <w:tr>
        <w:trPr>
          <w:trHeight w:val="150"/>
        </w:trPr>
        <w:tc>
          <w:tcPr>
            <w:tcW w:w="43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Non-current liabilities associated with vessels held for sale</w:t>
            </w:r>
          </w:p>
        </w:tc>
        <w:tc>
          <w:tcPr>
            <w:tcW w:w="4060" w:type="dxa"/>
            <w:vAlign w:val="bottom"/>
          </w:tcPr>
          <w:p>
            <w:pPr>
              <w:spacing w:after="0"/>
              <w:rPr>
                <w:sz w:val="13"/>
                <w:szCs w:val="13"/>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172,172</w:t>
            </w:r>
          </w:p>
        </w:tc>
      </w:tr>
      <w:tr>
        <w:trPr>
          <w:trHeight w:val="160"/>
        </w:trPr>
        <w:tc>
          <w:tcPr>
            <w:tcW w:w="43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Below market acquired charters</w:t>
            </w:r>
          </w:p>
        </w:tc>
        <w:tc>
          <w:tcPr>
            <w:tcW w:w="406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9,736</w:t>
            </w:r>
          </w:p>
        </w:tc>
      </w:tr>
      <w:tr>
        <w:trPr>
          <w:trHeight w:val="150"/>
        </w:trPr>
        <w:tc>
          <w:tcPr>
            <w:tcW w:w="4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Non-current liabilities of discontinued operations</w:t>
            </w:r>
          </w:p>
        </w:tc>
        <w:tc>
          <w:tcPr>
            <w:tcW w:w="40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w:t>
            </w:r>
          </w:p>
        </w:tc>
        <w:tc>
          <w:tcPr>
            <w:tcW w:w="1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181,908</w:t>
            </w:r>
          </w:p>
        </w:tc>
      </w:tr>
      <w:tr>
        <w:trPr>
          <w:trHeight w:val="519"/>
        </w:trPr>
        <w:tc>
          <w:tcPr>
            <w:tcW w:w="4360" w:type="dxa"/>
            <w:vAlign w:val="bottom"/>
          </w:tcPr>
          <w:p>
            <w:pPr>
              <w:spacing w:after="0"/>
              <w:rPr>
                <w:sz w:val="24"/>
                <w:szCs w:val="24"/>
                <w:color w:val="auto"/>
              </w:rPr>
            </w:pPr>
          </w:p>
        </w:tc>
        <w:tc>
          <w:tcPr>
            <w:tcW w:w="4060" w:type="dxa"/>
            <w:vAlign w:val="bottom"/>
          </w:tcPr>
          <w:p>
            <w:pPr>
              <w:jc w:val="right"/>
              <w:ind w:right="2553"/>
              <w:spacing w:after="0"/>
              <w:rPr>
                <w:sz w:val="20"/>
                <w:szCs w:val="20"/>
                <w:color w:val="auto"/>
              </w:rPr>
            </w:pPr>
            <w:r>
              <w:rPr>
                <w:rFonts w:ascii="Times New Roman" w:cs="Times New Roman" w:eastAsia="Times New Roman" w:hAnsi="Times New Roman"/>
                <w:sz w:val="13"/>
                <w:szCs w:val="13"/>
                <w:color w:val="auto"/>
              </w:rPr>
              <w:t>F- 13</w:t>
            </w: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3"/>
                <w:szCs w:val="13"/>
                <w:color w:val="0000EE"/>
                <w:w w:val="98"/>
              </w:rPr>
              <w:t>Table of Contents</w:t>
            </w: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80"/>
          </w:cols>
          <w:pgMar w:left="300" w:top="205" w:right="3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3"/>
          <w:szCs w:val="13"/>
          <w:b w:val="1"/>
          <w:bCs w:val="1"/>
          <w:color w:val="auto"/>
        </w:rPr>
        <w:t>Capital Clean Energy Carriers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United States Dollars, unless otherwise specified)</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3. Discontinued Operations – Continued</w:t>
      </w:r>
    </w:p>
    <w:p>
      <w:pPr>
        <w:spacing w:after="0" w:line="1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As of December 31, 2025, the Company disposed of 13 out of the 14 container carrier vessels agreed to sell. The remaining container carrier vessel, the M/V Buenaventura Express, that was disposed of on January 19, 2026, met the criteria to be classified as vessel held for sale and is included in “Assets held for sale” in the summarized selected balance sheet information from discontinued operations as of December 31, 2025. As of the MOA date the M/V Buenaventura Express fair value less estimated costs to sell exceeded its carrying amount, so no impairment charge was recognized.</w:t>
      </w:r>
    </w:p>
    <w:p>
      <w:pPr>
        <w:spacing w:after="0" w:line="12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On January 27, 2021, the Company entered into the Seller’s Credit Agreement with CMTC (“CMTC Seller’s Credit”) in order to defer $6,000 of the purchase price of the M/V Long Beach Express, M/V Seattle Express and M/V Fos Express for up to five years from the vessels’ delivery date. The CMTC Seller’s Credit was fully paid on December 30, 2024.</w:t>
      </w:r>
    </w:p>
    <w:p>
      <w:pPr>
        <w:spacing w:after="0" w:line="11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During the year ended December 31, 2024, the Company repaid in full the amounts outstanding under the 2020 CMB Financial Leasing Co., Ltd (“CMBFL”) and ICBC Financial Leasing Co., Ltd. (“ICBCFL”) sale and lease back facilities the Company has issued to partly finance the acquisition of the M/V Akadimos, M/V Athos and M/V Aristomenis in the total amount of $88,932.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the year ended December 31, 2025, the Company recognized a gain on sale of vessels from discontinued operations which is analyzed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280" w:type="dxa"/>
            <w:vAlign w:val="bottom"/>
            <w:tcBorders>
              <w:top w:val="single" w:sz="8" w:color="auto"/>
            </w:tcBorders>
          </w:tcPr>
          <w:p>
            <w:pPr>
              <w:ind w:left="2600"/>
              <w:spacing w:after="0"/>
              <w:rPr>
                <w:sz w:val="20"/>
                <w:szCs w:val="20"/>
                <w:color w:val="auto"/>
              </w:rPr>
            </w:pPr>
            <w:r>
              <w:rPr>
                <w:rFonts w:ascii="Times New Roman" w:cs="Times New Roman" w:eastAsia="Times New Roman" w:hAnsi="Times New Roman"/>
                <w:sz w:val="13"/>
                <w:szCs w:val="13"/>
                <w:b w:val="1"/>
                <w:bCs w:val="1"/>
                <w:color w:val="auto"/>
              </w:rPr>
              <w:t>Vessel</w:t>
            </w:r>
          </w:p>
        </w:tc>
        <w:tc>
          <w:tcPr>
            <w:tcW w:w="16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Sale price</w:t>
            </w: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Carrying value on</w:t>
            </w:r>
          </w:p>
        </w:tc>
        <w:tc>
          <w:tcPr>
            <w:tcW w:w="2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Other sale expenses</w:t>
            </w: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Gain on sale</w:t>
            </w:r>
          </w:p>
        </w:tc>
      </w:tr>
      <w:tr>
        <w:trPr>
          <w:trHeight w:val="174"/>
        </w:trPr>
        <w:tc>
          <w:tcPr>
            <w:tcW w:w="4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sale</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50"/>
        </w:trPr>
        <w:tc>
          <w:tcPr>
            <w:tcW w:w="4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M/V Hyundai Privilege</w:t>
            </w:r>
          </w:p>
        </w:tc>
        <w:tc>
          <w:tcPr>
            <w:tcW w:w="16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60,650</w:t>
            </w: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(35,647)</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(1,824)</w:t>
            </w: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23,179</w:t>
            </w:r>
          </w:p>
        </w:tc>
      </w:tr>
      <w:tr>
        <w:trPr>
          <w:trHeight w:val="160"/>
        </w:trPr>
        <w:tc>
          <w:tcPr>
            <w:tcW w:w="42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M/V Hyundai Platinum</w:t>
            </w:r>
          </w:p>
        </w:tc>
        <w:tc>
          <w:tcPr>
            <w:tcW w:w="1640" w:type="dxa"/>
            <w:vAlign w:val="bottom"/>
          </w:tcPr>
          <w:p>
            <w:pPr>
              <w:spacing w:after="0"/>
              <w:rPr>
                <w:sz w:val="13"/>
                <w:szCs w:val="1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60,650</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(35,792)</w:t>
            </w:r>
          </w:p>
        </w:tc>
        <w:tc>
          <w:tcPr>
            <w:tcW w:w="280" w:type="dxa"/>
            <w:vAlign w:val="bottom"/>
          </w:tcPr>
          <w:p>
            <w:pPr>
              <w:spacing w:after="0"/>
              <w:rPr>
                <w:sz w:val="13"/>
                <w:szCs w:val="13"/>
                <w:color w:val="auto"/>
              </w:rPr>
            </w:pPr>
          </w:p>
        </w:tc>
        <w:tc>
          <w:tcPr>
            <w:tcW w:w="12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(1,824)</w:t>
            </w:r>
          </w:p>
        </w:tc>
        <w:tc>
          <w:tcPr>
            <w:tcW w:w="2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23,034</w:t>
            </w:r>
          </w:p>
        </w:tc>
      </w:tr>
      <w:tr>
        <w:trPr>
          <w:trHeight w:val="160"/>
        </w:trPr>
        <w:tc>
          <w:tcPr>
            <w:tcW w:w="42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M/V Manzanillo Express</w:t>
            </w:r>
          </w:p>
        </w:tc>
        <w:tc>
          <w:tcPr>
            <w:tcW w:w="16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118,500</w:t>
            </w: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(108,631)</w:t>
            </w:r>
          </w:p>
        </w:tc>
        <w:tc>
          <w:tcPr>
            <w:tcW w:w="2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(2,377)</w:t>
            </w:r>
          </w:p>
        </w:tc>
        <w:tc>
          <w:tcPr>
            <w:tcW w:w="2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7,492</w:t>
            </w:r>
          </w:p>
        </w:tc>
      </w:tr>
      <w:tr>
        <w:trPr>
          <w:trHeight w:val="150"/>
        </w:trPr>
        <w:tc>
          <w:tcPr>
            <w:tcW w:w="4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239,800</w:t>
            </w: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(180,070)</w:t>
            </w: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(6,025)</w:t>
            </w:r>
          </w:p>
        </w:tc>
        <w:tc>
          <w:tcPr>
            <w:tcW w:w="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53,705</w:t>
            </w: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the year ended December 31, 2024, the Company recognized a gain on sale of vessels from discontinued operations which is analyzed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300" w:type="dxa"/>
            <w:vAlign w:val="bottom"/>
            <w:tcBorders>
              <w:top w:val="single" w:sz="8" w:color="auto"/>
            </w:tcBorders>
          </w:tcPr>
          <w:p>
            <w:pPr>
              <w:ind w:left="2620"/>
              <w:spacing w:after="0"/>
              <w:rPr>
                <w:sz w:val="20"/>
                <w:szCs w:val="20"/>
                <w:color w:val="auto"/>
              </w:rPr>
            </w:pPr>
            <w:r>
              <w:rPr>
                <w:rFonts w:ascii="Times New Roman" w:cs="Times New Roman" w:eastAsia="Times New Roman" w:hAnsi="Times New Roman"/>
                <w:sz w:val="13"/>
                <w:szCs w:val="13"/>
                <w:b w:val="1"/>
                <w:bCs w:val="1"/>
                <w:color w:val="auto"/>
              </w:rPr>
              <w:t>Vessel</w:t>
            </w:r>
          </w:p>
        </w:tc>
        <w:tc>
          <w:tcPr>
            <w:tcW w:w="16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Sale price</w:t>
            </w:r>
          </w:p>
        </w:tc>
        <w:tc>
          <w:tcPr>
            <w:tcW w:w="3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Carrying value on</w:t>
            </w:r>
          </w:p>
        </w:tc>
        <w:tc>
          <w:tcPr>
            <w:tcW w:w="3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Other sale expenses</w:t>
            </w: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Gain / (loss) on</w:t>
            </w:r>
          </w:p>
        </w:tc>
      </w:tr>
      <w:tr>
        <w:trPr>
          <w:trHeight w:val="174"/>
        </w:trPr>
        <w:tc>
          <w:tcPr>
            <w:tcW w:w="43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sale</w:t>
            </w: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sale</w:t>
            </w:r>
          </w:p>
        </w:tc>
      </w:tr>
      <w:tr>
        <w:trPr>
          <w:trHeight w:val="150"/>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M/V Akadimos</w:t>
            </w: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80,000</w:t>
            </w:r>
          </w:p>
        </w:tc>
        <w:tc>
          <w:tcPr>
            <w:tcW w:w="3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(62,030)</w:t>
            </w:r>
          </w:p>
        </w:tc>
        <w:tc>
          <w:tcPr>
            <w:tcW w:w="3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(1,560)</w:t>
            </w:r>
          </w:p>
        </w:tc>
        <w:tc>
          <w:tcPr>
            <w:tcW w:w="24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16,410</w:t>
            </w:r>
          </w:p>
        </w:tc>
      </w:tr>
      <w:tr>
        <w:trPr>
          <w:trHeight w:val="160"/>
        </w:trPr>
        <w:tc>
          <w:tcPr>
            <w:tcW w:w="4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M/V Seattle Express</w:t>
            </w:r>
          </w:p>
        </w:tc>
        <w:tc>
          <w:tcPr>
            <w:tcW w:w="16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13,200</w:t>
            </w:r>
          </w:p>
        </w:tc>
        <w:tc>
          <w:tcPr>
            <w:tcW w:w="3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(12,939)</w:t>
            </w:r>
          </w:p>
        </w:tc>
        <w:tc>
          <w:tcPr>
            <w:tcW w:w="300" w:type="dxa"/>
            <w:vAlign w:val="bottom"/>
          </w:tcPr>
          <w:p>
            <w:pPr>
              <w:spacing w:after="0"/>
              <w:rPr>
                <w:sz w:val="13"/>
                <w:szCs w:val="13"/>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(269)</w:t>
            </w:r>
          </w:p>
        </w:tc>
        <w:tc>
          <w:tcPr>
            <w:tcW w:w="2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0"/>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M/V Fos Express</w:t>
            </w:r>
          </w:p>
        </w:tc>
        <w:tc>
          <w:tcPr>
            <w:tcW w:w="16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13,200</w:t>
            </w:r>
          </w:p>
        </w:tc>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(12,931)</w:t>
            </w:r>
          </w:p>
        </w:tc>
        <w:tc>
          <w:tcPr>
            <w:tcW w:w="3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(284)</w:t>
            </w: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0"/>
        </w:trPr>
        <w:tc>
          <w:tcPr>
            <w:tcW w:w="4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M/V Long Beach Express</w:t>
            </w:r>
          </w:p>
        </w:tc>
        <w:tc>
          <w:tcPr>
            <w:tcW w:w="16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13,050</w:t>
            </w:r>
          </w:p>
        </w:tc>
        <w:tc>
          <w:tcPr>
            <w:tcW w:w="3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(12,789)</w:t>
            </w:r>
          </w:p>
        </w:tc>
        <w:tc>
          <w:tcPr>
            <w:tcW w:w="300" w:type="dxa"/>
            <w:vAlign w:val="bottom"/>
          </w:tcPr>
          <w:p>
            <w:pPr>
              <w:spacing w:after="0"/>
              <w:rPr>
                <w:sz w:val="13"/>
                <w:szCs w:val="13"/>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(261)</w:t>
            </w:r>
          </w:p>
        </w:tc>
        <w:tc>
          <w:tcPr>
            <w:tcW w:w="240" w:type="dxa"/>
            <w:vAlign w:val="bottom"/>
          </w:tcPr>
          <w:p>
            <w:pPr>
              <w:spacing w:after="0"/>
              <w:rPr>
                <w:sz w:val="13"/>
                <w:szCs w:val="13"/>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M/V Athenian</w:t>
            </w:r>
          </w:p>
        </w:tc>
        <w:tc>
          <w:tcPr>
            <w:tcW w:w="16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51,000</w:t>
            </w:r>
          </w:p>
        </w:tc>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(44,833)</w:t>
            </w:r>
          </w:p>
        </w:tc>
        <w:tc>
          <w:tcPr>
            <w:tcW w:w="3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(1,029)</w:t>
            </w: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5,138</w:t>
            </w:r>
          </w:p>
        </w:tc>
      </w:tr>
      <w:tr>
        <w:trPr>
          <w:trHeight w:val="160"/>
        </w:trPr>
        <w:tc>
          <w:tcPr>
            <w:tcW w:w="4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M/V Athos</w:t>
            </w:r>
          </w:p>
        </w:tc>
        <w:tc>
          <w:tcPr>
            <w:tcW w:w="16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51,000</w:t>
            </w:r>
          </w:p>
        </w:tc>
        <w:tc>
          <w:tcPr>
            <w:tcW w:w="3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(44,760)</w:t>
            </w:r>
          </w:p>
        </w:tc>
        <w:tc>
          <w:tcPr>
            <w:tcW w:w="300" w:type="dxa"/>
            <w:vAlign w:val="bottom"/>
          </w:tcPr>
          <w:p>
            <w:pPr>
              <w:spacing w:after="0"/>
              <w:rPr>
                <w:sz w:val="13"/>
                <w:szCs w:val="13"/>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(1,029)</w:t>
            </w:r>
          </w:p>
        </w:tc>
        <w:tc>
          <w:tcPr>
            <w:tcW w:w="2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5,211</w:t>
            </w:r>
          </w:p>
        </w:tc>
      </w:tr>
      <w:tr>
        <w:trPr>
          <w:trHeight w:val="160"/>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M/V Aristomenis</w:t>
            </w:r>
          </w:p>
        </w:tc>
        <w:tc>
          <w:tcPr>
            <w:tcW w:w="16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51,000</w:t>
            </w:r>
          </w:p>
        </w:tc>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(45,105)</w:t>
            </w:r>
          </w:p>
        </w:tc>
        <w:tc>
          <w:tcPr>
            <w:tcW w:w="3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(1,029)</w:t>
            </w: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4,866</w:t>
            </w:r>
          </w:p>
        </w:tc>
      </w:tr>
      <w:tr>
        <w:trPr>
          <w:trHeight w:val="160"/>
        </w:trPr>
        <w:tc>
          <w:tcPr>
            <w:tcW w:w="4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M/V Hyundai Premium</w:t>
            </w:r>
          </w:p>
        </w:tc>
        <w:tc>
          <w:tcPr>
            <w:tcW w:w="16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60,650</w:t>
            </w:r>
          </w:p>
        </w:tc>
        <w:tc>
          <w:tcPr>
            <w:tcW w:w="3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(34,626)</w:t>
            </w:r>
          </w:p>
        </w:tc>
        <w:tc>
          <w:tcPr>
            <w:tcW w:w="300" w:type="dxa"/>
            <w:vAlign w:val="bottom"/>
          </w:tcPr>
          <w:p>
            <w:pPr>
              <w:spacing w:after="0"/>
              <w:rPr>
                <w:sz w:val="13"/>
                <w:szCs w:val="13"/>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(1,825)</w:t>
            </w:r>
          </w:p>
        </w:tc>
        <w:tc>
          <w:tcPr>
            <w:tcW w:w="2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24,199</w:t>
            </w:r>
          </w:p>
        </w:tc>
      </w:tr>
      <w:tr>
        <w:trPr>
          <w:trHeight w:val="160"/>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M/V Hyundai Paramount</w:t>
            </w:r>
          </w:p>
        </w:tc>
        <w:tc>
          <w:tcPr>
            <w:tcW w:w="16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60,650</w:t>
            </w:r>
          </w:p>
        </w:tc>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(34,736)</w:t>
            </w:r>
          </w:p>
        </w:tc>
        <w:tc>
          <w:tcPr>
            <w:tcW w:w="3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(1,825)</w:t>
            </w: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24,089</w:t>
            </w:r>
          </w:p>
        </w:tc>
      </w:tr>
      <w:tr>
        <w:trPr>
          <w:trHeight w:val="160"/>
        </w:trPr>
        <w:tc>
          <w:tcPr>
            <w:tcW w:w="4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M/V Hyundai Prestige</w:t>
            </w:r>
          </w:p>
        </w:tc>
        <w:tc>
          <w:tcPr>
            <w:tcW w:w="16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60,650</w:t>
            </w: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(34,908)</w:t>
            </w: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(1,825)</w:t>
            </w: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23,917</w:t>
            </w:r>
          </w:p>
        </w:tc>
      </w:tr>
      <w:tr>
        <w:trPr>
          <w:trHeight w:val="150"/>
        </w:trPr>
        <w:tc>
          <w:tcPr>
            <w:tcW w:w="43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454,400</w:t>
            </w:r>
          </w:p>
        </w:tc>
        <w:tc>
          <w:tcPr>
            <w:tcW w:w="3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(339,657)</w:t>
            </w:r>
          </w:p>
        </w:tc>
        <w:tc>
          <w:tcPr>
            <w:tcW w:w="3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(10,936)</w:t>
            </w:r>
          </w:p>
        </w:tc>
        <w:tc>
          <w:tcPr>
            <w:tcW w:w="240" w:type="dxa"/>
            <w:vAlign w:val="bottom"/>
            <w:tcBorders>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103,807</w:t>
            </w:r>
          </w:p>
        </w:tc>
      </w:tr>
      <w:tr>
        <w:trPr>
          <w:trHeight w:val="469"/>
        </w:trPr>
        <w:tc>
          <w:tcPr>
            <w:tcW w:w="4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4. Revenues</w:t>
            </w:r>
          </w:p>
        </w:tc>
        <w:tc>
          <w:tcPr>
            <w:tcW w:w="1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5"/>
        </w:trPr>
        <w:tc>
          <w:tcPr>
            <w:tcW w:w="840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The following table shows the revenues earned from time, bareboat and voyage charters contracts for the years ended December 31, 2025, 2024 and 2023:</w:t>
            </w: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160"/>
        </w:trPr>
        <w:tc>
          <w:tcPr>
            <w:tcW w:w="43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40" w:type="dxa"/>
            <w:vAlign w:val="bottom"/>
            <w:gridSpan w:val="4"/>
          </w:tcPr>
          <w:p>
            <w:pPr>
              <w:jc w:val="right"/>
              <w:ind w:right="5"/>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100" w:type="dxa"/>
            <w:vAlign w:val="bottom"/>
          </w:tcPr>
          <w:p>
            <w:pPr>
              <w:spacing w:after="0"/>
              <w:rPr>
                <w:sz w:val="13"/>
                <w:szCs w:val="13"/>
                <w:color w:val="auto"/>
              </w:rPr>
            </w:pPr>
          </w:p>
        </w:tc>
      </w:tr>
      <w:tr>
        <w:trPr>
          <w:trHeight w:val="174"/>
        </w:trPr>
        <w:tc>
          <w:tcPr>
            <w:tcW w:w="43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Time charters (operating leases)</w:t>
            </w:r>
          </w:p>
        </w:tc>
        <w:tc>
          <w:tcPr>
            <w:tcW w:w="1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328,264</w:t>
            </w:r>
          </w:p>
        </w:tc>
        <w:tc>
          <w:tcPr>
            <w:tcW w:w="3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320,377$</w:t>
            </w: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208,238</w:t>
            </w:r>
          </w:p>
        </w:tc>
      </w:tr>
      <w:tr>
        <w:trPr>
          <w:trHeight w:val="160"/>
        </w:trPr>
        <w:tc>
          <w:tcPr>
            <w:tcW w:w="4300" w:type="dxa"/>
            <w:vAlign w:val="bottom"/>
          </w:tcPr>
          <w:p>
            <w:pPr>
              <w:spacing w:after="0"/>
              <w:rPr>
                <w:sz w:val="20"/>
                <w:szCs w:val="20"/>
                <w:color w:val="auto"/>
              </w:rPr>
            </w:pPr>
            <w:r>
              <w:rPr>
                <w:rFonts w:ascii="Times New Roman" w:cs="Times New Roman" w:eastAsia="Times New Roman" w:hAnsi="Times New Roman"/>
                <w:sz w:val="13"/>
                <w:szCs w:val="13"/>
                <w:color w:val="auto"/>
              </w:rPr>
              <w:t>Bareboat charters (operating leases)</w:t>
            </w:r>
          </w:p>
        </w:tc>
        <w:tc>
          <w:tcPr>
            <w:tcW w:w="1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64,442</w:t>
            </w:r>
          </w:p>
        </w:tc>
        <w:tc>
          <w:tcPr>
            <w:tcW w:w="300" w:type="dxa"/>
            <w:vAlign w:val="bottom"/>
          </w:tcPr>
          <w:p>
            <w:pPr>
              <w:spacing w:after="0"/>
              <w:rPr>
                <w:sz w:val="13"/>
                <w:szCs w:val="13"/>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19,172</w:t>
            </w:r>
          </w:p>
        </w:tc>
        <w:tc>
          <w:tcPr>
            <w:tcW w:w="2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4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Voyage charters</w:t>
            </w:r>
          </w:p>
        </w:tc>
        <w:tc>
          <w:tcPr>
            <w:tcW w:w="16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10,958</w:t>
            </w:r>
          </w:p>
        </w:tc>
      </w:tr>
      <w:tr>
        <w:trPr>
          <w:trHeight w:val="150"/>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392,706</w:t>
            </w:r>
          </w:p>
        </w:tc>
        <w:tc>
          <w:tcPr>
            <w:tcW w:w="3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339,549</w:t>
            </w: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219,196</w:t>
            </w:r>
          </w:p>
        </w:tc>
      </w:tr>
    </w:tbl>
    <w:p>
      <w:pPr>
        <w:spacing w:after="0" w:line="3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As of December 31, 2025, all of the Company’s vessels were employed under time and bareboat charter agreements with the remaining tenor ranging between 0.7 and 8.8 years. From these time and bareboat charter agreements, seven include extensions at the charterers’ option that range between 2.0 and 6.0 years. In addition, four of the Company’s vessels under-construction have secured time charter agreements with tenor range between 0.5 and 6.9 years from the respective date of delivery. All these charter agreements include extensions at the charterers’ option that range between 0.5 and 5.0 years.</w:t>
      </w:r>
    </w:p>
    <w:p>
      <w:pPr>
        <w:spacing w:after="0" w:line="12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As of December 31, 2024, all of the Company’s vessels were employed under time and bareboat charter agreements with the remaining tenor ranging between 0.8 and 9.8 years. From these time and bareboat charter agreements 10 include extensions at the charterers’ option that range from 2.0 to 9.0 years.</w:t>
      </w:r>
    </w:p>
    <w:p>
      <w:pPr>
        <w:spacing w:after="0" w:line="224" w:lineRule="exact"/>
        <w:rPr>
          <w:sz w:val="20"/>
          <w:szCs w:val="20"/>
          <w:color w:val="auto"/>
        </w:rPr>
      </w:pPr>
    </w:p>
    <w:p>
      <w:pPr>
        <w:jc w:val="right"/>
        <w:spacing w:after="0"/>
        <w:tabs>
          <w:tab w:leader="none" w:pos="920" w:val="left"/>
        </w:tabs>
        <w:rPr>
          <w:sz w:val="20"/>
          <w:szCs w:val="20"/>
          <w:color w:val="auto"/>
        </w:rPr>
      </w:pPr>
      <w:r>
        <w:rPr>
          <w:rFonts w:ascii="Times New Roman" w:cs="Times New Roman" w:eastAsia="Times New Roman" w:hAnsi="Times New Roman"/>
          <w:sz w:val="13"/>
          <w:szCs w:val="13"/>
          <w:color w:val="auto"/>
        </w:rPr>
        <w:t>F- 14</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3"/>
          <w:szCs w:val="13"/>
          <w:b w:val="1"/>
          <w:bCs w:val="1"/>
          <w:color w:val="auto"/>
        </w:rPr>
        <w:t>Capital Clean Energy Carriers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United States Dollars, unless otherwise specified)</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 Transactions with Related Parties</w:t>
      </w:r>
    </w:p>
    <w:p>
      <w:pPr>
        <w:spacing w:after="0" w:line="11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CMTC which is owned by Mr. Evangelos Marinakis, is an international shipping company with a long history of operating and investing in the shipping market and the Company’s sponsor. As of December 31, 2025 and 2024, CMTC may be deemed to beneficially own 48.2% and 48.5% of the Company’s common shares, respectively.</w:t>
      </w:r>
    </w:p>
    <w:p>
      <w:pPr>
        <w:spacing w:after="0" w:line="11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Capital Gas Corp. is a privately held company controlled by Mr. Miltiadis Marinakis the son of Mr. Evangelos M. Marinakis, who also controls CGP. As of December 31, 2025 and 2024, Capital Gas Corp. may be deemed to beneficially own 2.0% of the common shares.</w:t>
      </w:r>
    </w:p>
    <w:p>
      <w:pPr>
        <w:spacing w:after="0" w:line="11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CGP, the Partnership’s general partner until the Conversion, is a privately held company controlled by Mr. Miltiadis Marinakis. As of December 31, 2025 and 2024, CGP may be deemed to beneficially own 8.5% and 8.6% of the common shares.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Capital-Gas Ship Management Corp. (“Capital-Gas Management”), is a privately held company ultimately controlled by Mr. Miltiadis Marinakis and the manager of the Company’s LNG/C vessels.</w:t>
      </w:r>
    </w:p>
    <w:p>
      <w:pPr>
        <w:spacing w:after="0" w:line="17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Capital Containers Ship Management Corp. (“Capital-Containers”) is a privately held company ultimately controlled by Mr. Miltiadis Marinakis and the manager of the Company’s container vessels since the third quarter of 2025.</w:t>
      </w:r>
    </w:p>
    <w:p>
      <w:pPr>
        <w:spacing w:after="0" w:line="11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Capital-Executive Ship Management Corp. (“Capital-Executive”) was a privately held company ultimately controlled by Mr. Miltiadis Marinakis and was the manager of the Company’s container vessels until the third quarter of 2025.</w:t>
      </w:r>
    </w:p>
    <w:p>
      <w:pPr>
        <w:spacing w:after="0" w:line="11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Capital Ship Management Corp. (“CSM”), is a privately held company initially formed by CMTC. In 2018, CSM conducted a management buy-out led by its senior management. Since then, CSM is no longer part of the group of companies controlled by CMTC.</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auto"/>
        </w:rPr>
        <w:t>Acquisition of the Gas Vessels:</w:t>
      </w:r>
    </w:p>
    <w:p>
      <w:pPr>
        <w:spacing w:after="0" w:line="1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On June 3, 2024, the Company announced an investment in 10 new gas carriers’ vessels under construction (the “Gas Vessels”) for a total amount of $755,976 with expected deliveries between the first quarter of 2026 and the third quarter of 2027. On June 17, 2024, and upon entry into 10 separate Share Purchase Agreements (“SPAs”) with CMTC, the Company paid CMTC $74,654 to acquire 100% of the equity interests in each of the vessel-owning companies of the Gas Vessels (Note 6).</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Upon entering into the above SPAs each of the 10 vessel-owning companies of the Gas Vessels entered into a separate supervision services agreement with Capital-Gas Management.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 analysis of the Gas Vessels is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 paid to</w:t>
            </w:r>
          </w:p>
        </w:tc>
        <w:tc>
          <w:tcPr>
            <w:tcW w:w="0" w:type="dxa"/>
            <w:vAlign w:val="bottom"/>
          </w:tcPr>
          <w:p>
            <w:pPr>
              <w:spacing w:after="0"/>
              <w:rPr>
                <w:sz w:val="1"/>
                <w:szCs w:val="1"/>
                <w:color w:val="auto"/>
              </w:rPr>
            </w:pPr>
          </w:p>
        </w:tc>
      </w:tr>
      <w:tr>
        <w:trPr>
          <w:trHeight w:val="160"/>
        </w:trPr>
        <w:tc>
          <w:tcPr>
            <w:tcW w:w="14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CMTC for the</w:t>
            </w:r>
          </w:p>
        </w:tc>
        <w:tc>
          <w:tcPr>
            <w:tcW w:w="0" w:type="dxa"/>
            <w:vAlign w:val="bottom"/>
          </w:tcPr>
          <w:p>
            <w:pPr>
              <w:spacing w:after="0"/>
              <w:rPr>
                <w:sz w:val="1"/>
                <w:szCs w:val="1"/>
                <w:color w:val="auto"/>
              </w:rPr>
            </w:pPr>
          </w:p>
        </w:tc>
      </w:tr>
      <w:tr>
        <w:trPr>
          <w:trHeight w:val="160"/>
        </w:trPr>
        <w:tc>
          <w:tcPr>
            <w:tcW w:w="14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acquisition of the</w:t>
            </w:r>
          </w:p>
        </w:tc>
        <w:tc>
          <w:tcPr>
            <w:tcW w:w="0" w:type="dxa"/>
            <w:vAlign w:val="bottom"/>
          </w:tcPr>
          <w:p>
            <w:pPr>
              <w:spacing w:after="0"/>
              <w:rPr>
                <w:sz w:val="1"/>
                <w:szCs w:val="1"/>
                <w:color w:val="auto"/>
              </w:rPr>
            </w:pPr>
          </w:p>
        </w:tc>
      </w:tr>
      <w:tr>
        <w:trPr>
          <w:trHeight w:val="160"/>
        </w:trPr>
        <w:tc>
          <w:tcPr>
            <w:tcW w:w="14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vessel-owning</w:t>
            </w:r>
          </w:p>
        </w:tc>
        <w:tc>
          <w:tcPr>
            <w:tcW w:w="0" w:type="dxa"/>
            <w:vAlign w:val="bottom"/>
          </w:tcPr>
          <w:p>
            <w:pPr>
              <w:spacing w:after="0"/>
              <w:rPr>
                <w:sz w:val="1"/>
                <w:szCs w:val="1"/>
                <w:color w:val="auto"/>
              </w:rPr>
            </w:pPr>
          </w:p>
        </w:tc>
      </w:tr>
      <w:tr>
        <w:trPr>
          <w:trHeight w:val="160"/>
        </w:trPr>
        <w:tc>
          <w:tcPr>
            <w:tcW w:w="14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Delivery / Estimated</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companies of the</w:t>
            </w:r>
          </w:p>
        </w:tc>
        <w:tc>
          <w:tcPr>
            <w:tcW w:w="0" w:type="dxa"/>
            <w:vAlign w:val="bottom"/>
          </w:tcPr>
          <w:p>
            <w:pPr>
              <w:spacing w:after="0"/>
              <w:rPr>
                <w:sz w:val="1"/>
                <w:szCs w:val="1"/>
                <w:color w:val="auto"/>
              </w:rPr>
            </w:pPr>
          </w:p>
        </w:tc>
      </w:tr>
      <w:tr>
        <w:trPr>
          <w:trHeight w:val="174"/>
        </w:trPr>
        <w:tc>
          <w:tcPr>
            <w:tcW w:w="1420" w:type="dxa"/>
            <w:vAlign w:val="bottom"/>
            <w:tcBorders>
              <w:bottom w:val="single" w:sz="8" w:color="auto"/>
            </w:tcBorders>
          </w:tcPr>
          <w:p>
            <w:pPr>
              <w:jc w:val="center"/>
              <w:ind w:left="73"/>
              <w:spacing w:after="0"/>
              <w:rPr>
                <w:sz w:val="20"/>
                <w:szCs w:val="20"/>
                <w:color w:val="auto"/>
              </w:rPr>
            </w:pPr>
            <w:r>
              <w:rPr>
                <w:rFonts w:ascii="Times New Roman" w:cs="Times New Roman" w:eastAsia="Times New Roman" w:hAnsi="Times New Roman"/>
                <w:sz w:val="13"/>
                <w:szCs w:val="13"/>
                <w:b w:val="1"/>
                <w:bCs w:val="1"/>
                <w:color w:val="auto"/>
                <w:w w:val="96"/>
              </w:rPr>
              <w:t>Vessel Type</w:t>
            </w:r>
          </w:p>
        </w:tc>
        <w:tc>
          <w:tcPr>
            <w:tcW w:w="1940" w:type="dxa"/>
            <w:vAlign w:val="bottom"/>
            <w:tcBorders>
              <w:bottom w:val="single" w:sz="8" w:color="auto"/>
            </w:tcBorders>
          </w:tcPr>
          <w:p>
            <w:pPr>
              <w:jc w:val="center"/>
              <w:ind w:left="73"/>
              <w:spacing w:after="0"/>
              <w:rPr>
                <w:sz w:val="20"/>
                <w:szCs w:val="20"/>
                <w:color w:val="auto"/>
              </w:rPr>
            </w:pPr>
            <w:r>
              <w:rPr>
                <w:rFonts w:ascii="Times New Roman" w:cs="Times New Roman" w:eastAsia="Times New Roman" w:hAnsi="Times New Roman"/>
                <w:sz w:val="13"/>
                <w:szCs w:val="13"/>
                <w:b w:val="1"/>
                <w:bCs w:val="1"/>
                <w:color w:val="auto"/>
              </w:rPr>
              <w:t>Hull No. / Vessel Name</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Cubic Meters (“CBM”)</w:t>
            </w: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Shipyard</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Delivery</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Gas Vessels</w:t>
            </w:r>
          </w:p>
        </w:tc>
        <w:tc>
          <w:tcPr>
            <w:tcW w:w="0" w:type="dxa"/>
            <w:vAlign w:val="bottom"/>
          </w:tcPr>
          <w:p>
            <w:pPr>
              <w:spacing w:after="0"/>
              <w:rPr>
                <w:sz w:val="1"/>
                <w:szCs w:val="1"/>
                <w:color w:val="auto"/>
              </w:rPr>
            </w:pPr>
          </w:p>
        </w:tc>
      </w:tr>
      <w:tr>
        <w:trPr>
          <w:trHeight w:val="137"/>
        </w:trPr>
        <w:tc>
          <w:tcPr>
            <w:tcW w:w="1420" w:type="dxa"/>
            <w:vAlign w:val="bottom"/>
            <w:vMerge w:val="restart"/>
            <w:shd w:val="clear" w:color="auto" w:fill="CCECFF"/>
          </w:tcPr>
          <w:p>
            <w:pPr>
              <w:jc w:val="center"/>
              <w:ind w:left="53"/>
              <w:spacing w:after="0"/>
              <w:rPr>
                <w:sz w:val="20"/>
                <w:szCs w:val="20"/>
                <w:color w:val="auto"/>
              </w:rPr>
            </w:pPr>
            <w:r>
              <w:rPr>
                <w:rFonts w:ascii="Times New Roman" w:cs="Times New Roman" w:eastAsia="Times New Roman" w:hAnsi="Times New Roman"/>
                <w:sz w:val="13"/>
                <w:szCs w:val="13"/>
                <w:color w:val="auto"/>
              </w:rPr>
              <w:t>MG/C</w:t>
            </w:r>
          </w:p>
        </w:tc>
        <w:tc>
          <w:tcPr>
            <w:tcW w:w="1940" w:type="dxa"/>
            <w:vAlign w:val="bottom"/>
            <w:vMerge w:val="restart"/>
            <w:shd w:val="clear" w:color="auto" w:fill="CCECFF"/>
          </w:tcPr>
          <w:p>
            <w:pPr>
              <w:jc w:val="center"/>
              <w:ind w:left="73"/>
              <w:spacing w:after="0"/>
              <w:rPr>
                <w:sz w:val="20"/>
                <w:szCs w:val="20"/>
                <w:color w:val="auto"/>
              </w:rPr>
            </w:pPr>
            <w:r>
              <w:rPr>
                <w:rFonts w:ascii="Times New Roman" w:cs="Times New Roman" w:eastAsia="Times New Roman" w:hAnsi="Times New Roman"/>
                <w:sz w:val="13"/>
                <w:szCs w:val="13"/>
                <w:color w:val="auto"/>
              </w:rPr>
              <w:t>8424</w:t>
            </w:r>
          </w:p>
        </w:tc>
        <w:tc>
          <w:tcPr>
            <w:tcW w:w="152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45,000</w:t>
            </w:r>
          </w:p>
        </w:tc>
        <w:tc>
          <w:tcPr>
            <w:tcW w:w="3320" w:type="dxa"/>
            <w:vAlign w:val="bottom"/>
            <w:shd w:val="clear" w:color="auto" w:fill="CCECFF"/>
          </w:tcPr>
          <w:p>
            <w:pPr>
              <w:jc w:val="center"/>
              <w:spacing w:after="0" w:line="137" w:lineRule="exact"/>
              <w:rPr>
                <w:sz w:val="20"/>
                <w:szCs w:val="20"/>
                <w:color w:val="auto"/>
              </w:rPr>
            </w:pPr>
            <w:r>
              <w:rPr>
                <w:rFonts w:ascii="Times New Roman" w:cs="Times New Roman" w:eastAsia="Times New Roman" w:hAnsi="Times New Roman"/>
                <w:sz w:val="13"/>
                <w:szCs w:val="13"/>
                <w:color w:val="auto"/>
              </w:rPr>
              <w:t>Hyundai Mipo Dockyard Co. Ltd, South Korea (“Hyundai</w:t>
            </w:r>
          </w:p>
        </w:tc>
        <w:tc>
          <w:tcPr>
            <w:tcW w:w="186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Jun-26</w:t>
            </w:r>
          </w:p>
        </w:tc>
        <w:tc>
          <w:tcPr>
            <w:tcW w:w="12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3"/>
        </w:trPr>
        <w:tc>
          <w:tcPr>
            <w:tcW w:w="1420" w:type="dxa"/>
            <w:vAlign w:val="bottom"/>
            <w:vMerge w:val="continue"/>
            <w:shd w:val="clear" w:color="auto" w:fill="CCECFF"/>
          </w:tcPr>
          <w:p>
            <w:pPr>
              <w:spacing w:after="0"/>
              <w:rPr>
                <w:sz w:val="8"/>
                <w:szCs w:val="8"/>
                <w:color w:val="auto"/>
              </w:rPr>
            </w:pPr>
          </w:p>
        </w:tc>
        <w:tc>
          <w:tcPr>
            <w:tcW w:w="1940" w:type="dxa"/>
            <w:vAlign w:val="bottom"/>
            <w:vMerge w:val="continue"/>
            <w:shd w:val="clear" w:color="auto" w:fill="CCECFF"/>
          </w:tcPr>
          <w:p>
            <w:pPr>
              <w:spacing w:after="0"/>
              <w:rPr>
                <w:sz w:val="8"/>
                <w:szCs w:val="8"/>
                <w:color w:val="auto"/>
              </w:rPr>
            </w:pPr>
          </w:p>
        </w:tc>
        <w:tc>
          <w:tcPr>
            <w:tcW w:w="1520" w:type="dxa"/>
            <w:vAlign w:val="bottom"/>
            <w:vMerge w:val="continue"/>
            <w:shd w:val="clear" w:color="auto" w:fill="CCECFF"/>
          </w:tcPr>
          <w:p>
            <w:pPr>
              <w:spacing w:after="0"/>
              <w:rPr>
                <w:sz w:val="8"/>
                <w:szCs w:val="8"/>
                <w:color w:val="auto"/>
              </w:rPr>
            </w:pPr>
          </w:p>
        </w:tc>
        <w:tc>
          <w:tcPr>
            <w:tcW w:w="332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9"/>
              </w:rPr>
              <w:t>Mipo”)</w:t>
            </w:r>
          </w:p>
        </w:tc>
        <w:tc>
          <w:tcPr>
            <w:tcW w:w="1860" w:type="dxa"/>
            <w:vAlign w:val="bottom"/>
            <w:vMerge w:val="continue"/>
            <w:shd w:val="clear" w:color="auto" w:fill="CCECFF"/>
          </w:tcPr>
          <w:p>
            <w:pPr>
              <w:spacing w:after="0"/>
              <w:rPr>
                <w:sz w:val="8"/>
                <w:szCs w:val="8"/>
                <w:color w:val="auto"/>
              </w:rPr>
            </w:pPr>
          </w:p>
        </w:tc>
        <w:tc>
          <w:tcPr>
            <w:tcW w:w="1220" w:type="dxa"/>
            <w:vAlign w:val="bottom"/>
            <w:vMerge w:val="continue"/>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420" w:type="dxa"/>
            <w:vAlign w:val="bottom"/>
            <w:shd w:val="clear" w:color="auto" w:fill="CCECFF"/>
          </w:tcPr>
          <w:p>
            <w:pPr>
              <w:spacing w:after="0"/>
              <w:rPr>
                <w:sz w:val="6"/>
                <w:szCs w:val="6"/>
                <w:color w:val="auto"/>
              </w:rPr>
            </w:pPr>
          </w:p>
        </w:tc>
        <w:tc>
          <w:tcPr>
            <w:tcW w:w="1940" w:type="dxa"/>
            <w:vAlign w:val="bottom"/>
            <w:shd w:val="clear" w:color="auto" w:fill="CCECFF"/>
          </w:tcPr>
          <w:p>
            <w:pPr>
              <w:spacing w:after="0"/>
              <w:rPr>
                <w:sz w:val="6"/>
                <w:szCs w:val="6"/>
                <w:color w:val="auto"/>
              </w:rPr>
            </w:pPr>
          </w:p>
        </w:tc>
        <w:tc>
          <w:tcPr>
            <w:tcW w:w="1520" w:type="dxa"/>
            <w:vAlign w:val="bottom"/>
            <w:shd w:val="clear" w:color="auto" w:fill="CCECFF"/>
          </w:tcPr>
          <w:p>
            <w:pPr>
              <w:spacing w:after="0"/>
              <w:rPr>
                <w:sz w:val="6"/>
                <w:szCs w:val="6"/>
                <w:color w:val="auto"/>
              </w:rPr>
            </w:pPr>
          </w:p>
        </w:tc>
        <w:tc>
          <w:tcPr>
            <w:tcW w:w="3320" w:type="dxa"/>
            <w:vAlign w:val="bottom"/>
            <w:vMerge w:val="continue"/>
            <w:shd w:val="clear" w:color="auto" w:fill="CCECFF"/>
          </w:tcPr>
          <w:p>
            <w:pPr>
              <w:spacing w:after="0"/>
              <w:rPr>
                <w:sz w:val="6"/>
                <w:szCs w:val="6"/>
                <w:color w:val="auto"/>
              </w:rPr>
            </w:pPr>
          </w:p>
        </w:tc>
        <w:tc>
          <w:tcPr>
            <w:tcW w:w="1860" w:type="dxa"/>
            <w:vAlign w:val="bottom"/>
            <w:shd w:val="clear" w:color="auto" w:fill="CCECFF"/>
          </w:tcPr>
          <w:p>
            <w:pPr>
              <w:spacing w:after="0"/>
              <w:rPr>
                <w:sz w:val="6"/>
                <w:szCs w:val="6"/>
                <w:color w:val="auto"/>
              </w:rPr>
            </w:pPr>
          </w:p>
        </w:tc>
        <w:tc>
          <w:tcPr>
            <w:tcW w:w="1220" w:type="dxa"/>
            <w:vAlign w:val="bottom"/>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142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MG/C</w:t>
            </w:r>
          </w:p>
        </w:tc>
        <w:tc>
          <w:tcPr>
            <w:tcW w:w="1940" w:type="dxa"/>
            <w:vAlign w:val="bottom"/>
          </w:tcPr>
          <w:p>
            <w:pPr>
              <w:jc w:val="center"/>
              <w:ind w:left="73"/>
              <w:spacing w:after="0"/>
              <w:rPr>
                <w:sz w:val="20"/>
                <w:szCs w:val="20"/>
                <w:color w:val="auto"/>
              </w:rPr>
            </w:pPr>
            <w:r>
              <w:rPr>
                <w:rFonts w:ascii="Times New Roman" w:cs="Times New Roman" w:eastAsia="Times New Roman" w:hAnsi="Times New Roman"/>
                <w:sz w:val="13"/>
                <w:szCs w:val="13"/>
                <w:color w:val="auto"/>
              </w:rPr>
              <w:t>8425</w:t>
            </w: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45,000</w:t>
            </w:r>
          </w:p>
        </w:tc>
        <w:tc>
          <w:tcPr>
            <w:tcW w:w="3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Hyundai Mipo</w:t>
            </w: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Sep-26</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1420" w:type="dxa"/>
            <w:vAlign w:val="bottom"/>
            <w:shd w:val="clear" w:color="auto" w:fill="CCECFF"/>
          </w:tcPr>
          <w:p>
            <w:pPr>
              <w:jc w:val="center"/>
              <w:ind w:left="53"/>
              <w:spacing w:after="0"/>
              <w:rPr>
                <w:sz w:val="20"/>
                <w:szCs w:val="20"/>
                <w:color w:val="auto"/>
              </w:rPr>
            </w:pPr>
            <w:r>
              <w:rPr>
                <w:rFonts w:ascii="Times New Roman" w:cs="Times New Roman" w:eastAsia="Times New Roman" w:hAnsi="Times New Roman"/>
                <w:sz w:val="13"/>
                <w:szCs w:val="13"/>
                <w:color w:val="auto"/>
              </w:rPr>
              <w:t>MG/C</w:t>
            </w:r>
          </w:p>
        </w:tc>
        <w:tc>
          <w:tcPr>
            <w:tcW w:w="1940" w:type="dxa"/>
            <w:vAlign w:val="bottom"/>
            <w:shd w:val="clear" w:color="auto" w:fill="CCECFF"/>
          </w:tcPr>
          <w:p>
            <w:pPr>
              <w:jc w:val="center"/>
              <w:ind w:left="73"/>
              <w:spacing w:after="0"/>
              <w:rPr>
                <w:sz w:val="20"/>
                <w:szCs w:val="20"/>
                <w:color w:val="auto"/>
              </w:rPr>
            </w:pPr>
            <w:r>
              <w:rPr>
                <w:rFonts w:ascii="Times New Roman" w:cs="Times New Roman" w:eastAsia="Times New Roman" w:hAnsi="Times New Roman"/>
                <w:sz w:val="13"/>
                <w:szCs w:val="13"/>
                <w:color w:val="auto"/>
              </w:rPr>
              <w:t>8426</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45,000</w:t>
            </w:r>
          </w:p>
        </w:tc>
        <w:tc>
          <w:tcPr>
            <w:tcW w:w="3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Hyundai Mipo</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Feb-27</w:t>
            </w: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142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MG/C</w:t>
            </w:r>
          </w:p>
        </w:tc>
        <w:tc>
          <w:tcPr>
            <w:tcW w:w="1940" w:type="dxa"/>
            <w:vAlign w:val="bottom"/>
          </w:tcPr>
          <w:p>
            <w:pPr>
              <w:jc w:val="center"/>
              <w:ind w:left="73"/>
              <w:spacing w:after="0"/>
              <w:rPr>
                <w:sz w:val="20"/>
                <w:szCs w:val="20"/>
                <w:color w:val="auto"/>
              </w:rPr>
            </w:pPr>
            <w:r>
              <w:rPr>
                <w:rFonts w:ascii="Times New Roman" w:cs="Times New Roman" w:eastAsia="Times New Roman" w:hAnsi="Times New Roman"/>
                <w:sz w:val="13"/>
                <w:szCs w:val="13"/>
                <w:color w:val="auto"/>
              </w:rPr>
              <w:t>8427</w:t>
            </w: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45,000</w:t>
            </w:r>
          </w:p>
        </w:tc>
        <w:tc>
          <w:tcPr>
            <w:tcW w:w="3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Hyundai Mipo</w:t>
            </w: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May-27</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7"/>
        </w:trPr>
        <w:tc>
          <w:tcPr>
            <w:tcW w:w="1420" w:type="dxa"/>
            <w:vAlign w:val="bottom"/>
            <w:vMerge w:val="restart"/>
            <w:shd w:val="clear" w:color="auto" w:fill="CCECFF"/>
          </w:tcPr>
          <w:p>
            <w:pPr>
              <w:jc w:val="center"/>
              <w:ind w:left="53"/>
              <w:spacing w:after="0"/>
              <w:rPr>
                <w:sz w:val="20"/>
                <w:szCs w:val="20"/>
                <w:color w:val="auto"/>
              </w:rPr>
            </w:pPr>
            <w:r>
              <w:rPr>
                <w:rFonts w:ascii="Times New Roman" w:cs="Times New Roman" w:eastAsia="Times New Roman" w:hAnsi="Times New Roman"/>
                <w:sz w:val="13"/>
                <w:szCs w:val="13"/>
                <w:color w:val="auto"/>
              </w:rPr>
              <w:t>MG/C</w:t>
            </w:r>
          </w:p>
        </w:tc>
        <w:tc>
          <w:tcPr>
            <w:tcW w:w="1940" w:type="dxa"/>
            <w:vAlign w:val="bottom"/>
            <w:vMerge w:val="restart"/>
            <w:shd w:val="clear" w:color="auto" w:fill="CCECFF"/>
          </w:tcPr>
          <w:p>
            <w:pPr>
              <w:jc w:val="center"/>
              <w:ind w:left="73"/>
              <w:spacing w:after="0"/>
              <w:rPr>
                <w:sz w:val="20"/>
                <w:szCs w:val="20"/>
                <w:color w:val="auto"/>
              </w:rPr>
            </w:pPr>
            <w:r>
              <w:rPr>
                <w:rFonts w:ascii="Times New Roman" w:cs="Times New Roman" w:eastAsia="Times New Roman" w:hAnsi="Times New Roman"/>
                <w:sz w:val="13"/>
                <w:szCs w:val="13"/>
                <w:color w:val="auto"/>
                <w:w w:val="96"/>
              </w:rPr>
              <w:t>S1111</w:t>
            </w:r>
          </w:p>
        </w:tc>
        <w:tc>
          <w:tcPr>
            <w:tcW w:w="152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40,000</w:t>
            </w:r>
          </w:p>
        </w:tc>
        <w:tc>
          <w:tcPr>
            <w:tcW w:w="3320" w:type="dxa"/>
            <w:vAlign w:val="bottom"/>
            <w:shd w:val="clear" w:color="auto" w:fill="CCECFF"/>
          </w:tcPr>
          <w:p>
            <w:pPr>
              <w:jc w:val="center"/>
              <w:spacing w:after="0" w:line="147" w:lineRule="exact"/>
              <w:rPr>
                <w:sz w:val="20"/>
                <w:szCs w:val="20"/>
                <w:color w:val="auto"/>
              </w:rPr>
            </w:pPr>
            <w:r>
              <w:rPr>
                <w:rFonts w:ascii="Times New Roman" w:cs="Times New Roman" w:eastAsia="Times New Roman" w:hAnsi="Times New Roman"/>
                <w:sz w:val="13"/>
                <w:szCs w:val="13"/>
                <w:color w:val="auto"/>
              </w:rPr>
              <w:t>Nantong CIMC Sinopacific Offshore &amp; Engineering Co.</w:t>
            </w:r>
          </w:p>
        </w:tc>
        <w:tc>
          <w:tcPr>
            <w:tcW w:w="186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Mar-27</w:t>
            </w:r>
          </w:p>
        </w:tc>
        <w:tc>
          <w:tcPr>
            <w:tcW w:w="12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9,798</w:t>
            </w:r>
          </w:p>
        </w:tc>
        <w:tc>
          <w:tcPr>
            <w:tcW w:w="0" w:type="dxa"/>
            <w:vAlign w:val="bottom"/>
          </w:tcPr>
          <w:p>
            <w:pPr>
              <w:spacing w:after="0"/>
              <w:rPr>
                <w:sz w:val="1"/>
                <w:szCs w:val="1"/>
                <w:color w:val="auto"/>
              </w:rPr>
            </w:pPr>
          </w:p>
        </w:tc>
      </w:tr>
      <w:tr>
        <w:trPr>
          <w:trHeight w:val="93"/>
        </w:trPr>
        <w:tc>
          <w:tcPr>
            <w:tcW w:w="1420" w:type="dxa"/>
            <w:vAlign w:val="bottom"/>
            <w:vMerge w:val="continue"/>
            <w:shd w:val="clear" w:color="auto" w:fill="CCECFF"/>
          </w:tcPr>
          <w:p>
            <w:pPr>
              <w:spacing w:after="0"/>
              <w:rPr>
                <w:sz w:val="8"/>
                <w:szCs w:val="8"/>
                <w:color w:val="auto"/>
              </w:rPr>
            </w:pPr>
          </w:p>
        </w:tc>
        <w:tc>
          <w:tcPr>
            <w:tcW w:w="1940" w:type="dxa"/>
            <w:vAlign w:val="bottom"/>
            <w:vMerge w:val="continue"/>
            <w:shd w:val="clear" w:color="auto" w:fill="CCECFF"/>
          </w:tcPr>
          <w:p>
            <w:pPr>
              <w:spacing w:after="0"/>
              <w:rPr>
                <w:sz w:val="8"/>
                <w:szCs w:val="8"/>
                <w:color w:val="auto"/>
              </w:rPr>
            </w:pPr>
          </w:p>
        </w:tc>
        <w:tc>
          <w:tcPr>
            <w:tcW w:w="1520" w:type="dxa"/>
            <w:vAlign w:val="bottom"/>
            <w:vMerge w:val="continue"/>
            <w:shd w:val="clear" w:color="auto" w:fill="CCECFF"/>
          </w:tcPr>
          <w:p>
            <w:pPr>
              <w:spacing w:after="0"/>
              <w:rPr>
                <w:sz w:val="8"/>
                <w:szCs w:val="8"/>
                <w:color w:val="auto"/>
              </w:rPr>
            </w:pPr>
          </w:p>
        </w:tc>
        <w:tc>
          <w:tcPr>
            <w:tcW w:w="332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Ltd, China (“CIMC SOE”)</w:t>
            </w:r>
          </w:p>
        </w:tc>
        <w:tc>
          <w:tcPr>
            <w:tcW w:w="1860" w:type="dxa"/>
            <w:vAlign w:val="bottom"/>
            <w:vMerge w:val="continue"/>
            <w:shd w:val="clear" w:color="auto" w:fill="CCECFF"/>
          </w:tcPr>
          <w:p>
            <w:pPr>
              <w:spacing w:after="0"/>
              <w:rPr>
                <w:sz w:val="8"/>
                <w:szCs w:val="8"/>
                <w:color w:val="auto"/>
              </w:rPr>
            </w:pPr>
          </w:p>
        </w:tc>
        <w:tc>
          <w:tcPr>
            <w:tcW w:w="1220" w:type="dxa"/>
            <w:vAlign w:val="bottom"/>
            <w:vMerge w:val="continue"/>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420" w:type="dxa"/>
            <w:vAlign w:val="bottom"/>
            <w:shd w:val="clear" w:color="auto" w:fill="CCECFF"/>
          </w:tcPr>
          <w:p>
            <w:pPr>
              <w:spacing w:after="0"/>
              <w:rPr>
                <w:sz w:val="6"/>
                <w:szCs w:val="6"/>
                <w:color w:val="auto"/>
              </w:rPr>
            </w:pPr>
          </w:p>
        </w:tc>
        <w:tc>
          <w:tcPr>
            <w:tcW w:w="1940" w:type="dxa"/>
            <w:vAlign w:val="bottom"/>
            <w:shd w:val="clear" w:color="auto" w:fill="CCECFF"/>
          </w:tcPr>
          <w:p>
            <w:pPr>
              <w:spacing w:after="0"/>
              <w:rPr>
                <w:sz w:val="6"/>
                <w:szCs w:val="6"/>
                <w:color w:val="auto"/>
              </w:rPr>
            </w:pPr>
          </w:p>
        </w:tc>
        <w:tc>
          <w:tcPr>
            <w:tcW w:w="1520" w:type="dxa"/>
            <w:vAlign w:val="bottom"/>
            <w:shd w:val="clear" w:color="auto" w:fill="CCECFF"/>
          </w:tcPr>
          <w:p>
            <w:pPr>
              <w:spacing w:after="0"/>
              <w:rPr>
                <w:sz w:val="6"/>
                <w:szCs w:val="6"/>
                <w:color w:val="auto"/>
              </w:rPr>
            </w:pPr>
          </w:p>
        </w:tc>
        <w:tc>
          <w:tcPr>
            <w:tcW w:w="3320" w:type="dxa"/>
            <w:vAlign w:val="bottom"/>
            <w:vMerge w:val="continue"/>
            <w:shd w:val="clear" w:color="auto" w:fill="CCECFF"/>
          </w:tcPr>
          <w:p>
            <w:pPr>
              <w:spacing w:after="0"/>
              <w:rPr>
                <w:sz w:val="6"/>
                <w:szCs w:val="6"/>
                <w:color w:val="auto"/>
              </w:rPr>
            </w:pPr>
          </w:p>
        </w:tc>
        <w:tc>
          <w:tcPr>
            <w:tcW w:w="1860" w:type="dxa"/>
            <w:vAlign w:val="bottom"/>
            <w:shd w:val="clear" w:color="auto" w:fill="CCECFF"/>
          </w:tcPr>
          <w:p>
            <w:pPr>
              <w:spacing w:after="0"/>
              <w:rPr>
                <w:sz w:val="6"/>
                <w:szCs w:val="6"/>
                <w:color w:val="auto"/>
              </w:rPr>
            </w:pPr>
          </w:p>
        </w:tc>
        <w:tc>
          <w:tcPr>
            <w:tcW w:w="1220" w:type="dxa"/>
            <w:vAlign w:val="bottom"/>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142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MG/C</w:t>
            </w:r>
          </w:p>
        </w:tc>
        <w:tc>
          <w:tcPr>
            <w:tcW w:w="1940" w:type="dxa"/>
            <w:vAlign w:val="bottom"/>
          </w:tcPr>
          <w:p>
            <w:pPr>
              <w:jc w:val="center"/>
              <w:ind w:left="73"/>
              <w:spacing w:after="0"/>
              <w:rPr>
                <w:sz w:val="20"/>
                <w:szCs w:val="20"/>
                <w:color w:val="auto"/>
              </w:rPr>
            </w:pPr>
            <w:r>
              <w:rPr>
                <w:rFonts w:ascii="Times New Roman" w:cs="Times New Roman" w:eastAsia="Times New Roman" w:hAnsi="Times New Roman"/>
                <w:sz w:val="13"/>
                <w:szCs w:val="13"/>
                <w:color w:val="auto"/>
                <w:w w:val="96"/>
              </w:rPr>
              <w:t>S1112</w:t>
            </w: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40,000</w:t>
            </w:r>
          </w:p>
        </w:tc>
        <w:tc>
          <w:tcPr>
            <w:tcW w:w="3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CIMC SOE</w:t>
            </w: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Jul-27</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9,798</w:t>
            </w:r>
          </w:p>
        </w:tc>
        <w:tc>
          <w:tcPr>
            <w:tcW w:w="0" w:type="dxa"/>
            <w:vAlign w:val="bottom"/>
          </w:tcPr>
          <w:p>
            <w:pPr>
              <w:spacing w:after="0"/>
              <w:rPr>
                <w:sz w:val="1"/>
                <w:szCs w:val="1"/>
                <w:color w:val="auto"/>
              </w:rPr>
            </w:pPr>
          </w:p>
        </w:tc>
      </w:tr>
      <w:tr>
        <w:trPr>
          <w:trHeight w:val="190"/>
        </w:trPr>
        <w:tc>
          <w:tcPr>
            <w:tcW w:w="1420" w:type="dxa"/>
            <w:vAlign w:val="bottom"/>
            <w:shd w:val="clear" w:color="auto" w:fill="CCECFF"/>
          </w:tcPr>
          <w:p>
            <w:pPr>
              <w:jc w:val="center"/>
              <w:ind w:left="73"/>
              <w:spacing w:after="0"/>
              <w:rPr>
                <w:sz w:val="20"/>
                <w:szCs w:val="20"/>
                <w:color w:val="auto"/>
              </w:rPr>
            </w:pPr>
            <w:r>
              <w:rPr>
                <w:rFonts w:ascii="Times New Roman" w:cs="Times New Roman" w:eastAsia="Times New Roman" w:hAnsi="Times New Roman"/>
                <w:sz w:val="13"/>
                <w:szCs w:val="13"/>
                <w:color w:val="auto"/>
                <w:w w:val="99"/>
              </w:rPr>
              <w:t>LCO2 – HMG/C</w:t>
            </w:r>
          </w:p>
        </w:tc>
        <w:tc>
          <w:tcPr>
            <w:tcW w:w="1940" w:type="dxa"/>
            <w:vAlign w:val="bottom"/>
            <w:shd w:val="clear" w:color="auto" w:fill="CCECFF"/>
          </w:tcPr>
          <w:p>
            <w:pPr>
              <w:jc w:val="center"/>
              <w:ind w:left="73"/>
              <w:spacing w:after="0"/>
              <w:rPr>
                <w:sz w:val="20"/>
                <w:szCs w:val="20"/>
                <w:color w:val="auto"/>
              </w:rPr>
            </w:pPr>
            <w:r>
              <w:rPr>
                <w:rFonts w:ascii="Times New Roman" w:cs="Times New Roman" w:eastAsia="Times New Roman" w:hAnsi="Times New Roman"/>
                <w:sz w:val="13"/>
                <w:szCs w:val="13"/>
                <w:color w:val="auto"/>
              </w:rPr>
              <w:t>8398 / LCO2 – HMG/C Active</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22,000</w:t>
            </w:r>
          </w:p>
        </w:tc>
        <w:tc>
          <w:tcPr>
            <w:tcW w:w="3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Hyundai Mipo</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Delivered on January 5, 2026</w:t>
            </w: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19,885</w:t>
            </w:r>
          </w:p>
        </w:tc>
        <w:tc>
          <w:tcPr>
            <w:tcW w:w="0" w:type="dxa"/>
            <w:vAlign w:val="bottom"/>
          </w:tcPr>
          <w:p>
            <w:pPr>
              <w:spacing w:after="0"/>
              <w:rPr>
                <w:sz w:val="1"/>
                <w:szCs w:val="1"/>
                <w:color w:val="auto"/>
              </w:rPr>
            </w:pPr>
          </w:p>
        </w:tc>
      </w:tr>
      <w:tr>
        <w:trPr>
          <w:trHeight w:val="160"/>
        </w:trPr>
        <w:tc>
          <w:tcPr>
            <w:tcW w:w="142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LCO2 – HMG/C</w:t>
            </w:r>
          </w:p>
        </w:tc>
        <w:tc>
          <w:tcPr>
            <w:tcW w:w="1940" w:type="dxa"/>
            <w:vAlign w:val="bottom"/>
          </w:tcPr>
          <w:p>
            <w:pPr>
              <w:jc w:val="center"/>
              <w:ind w:left="73"/>
              <w:spacing w:after="0"/>
              <w:rPr>
                <w:sz w:val="20"/>
                <w:szCs w:val="20"/>
                <w:color w:val="auto"/>
              </w:rPr>
            </w:pPr>
            <w:r>
              <w:rPr>
                <w:rFonts w:ascii="Times New Roman" w:cs="Times New Roman" w:eastAsia="Times New Roman" w:hAnsi="Times New Roman"/>
                <w:sz w:val="13"/>
                <w:szCs w:val="13"/>
                <w:color w:val="auto"/>
              </w:rPr>
              <w:t>8399</w:t>
            </w: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22,000</w:t>
            </w:r>
          </w:p>
        </w:tc>
        <w:tc>
          <w:tcPr>
            <w:tcW w:w="3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Hyundai Mipo</w:t>
            </w: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Apr-26</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19,885</w:t>
            </w:r>
          </w:p>
        </w:tc>
        <w:tc>
          <w:tcPr>
            <w:tcW w:w="0" w:type="dxa"/>
            <w:vAlign w:val="bottom"/>
          </w:tcPr>
          <w:p>
            <w:pPr>
              <w:spacing w:after="0"/>
              <w:rPr>
                <w:sz w:val="1"/>
                <w:szCs w:val="1"/>
                <w:color w:val="auto"/>
              </w:rPr>
            </w:pPr>
          </w:p>
        </w:tc>
      </w:tr>
      <w:tr>
        <w:trPr>
          <w:trHeight w:val="160"/>
        </w:trPr>
        <w:tc>
          <w:tcPr>
            <w:tcW w:w="1420" w:type="dxa"/>
            <w:vAlign w:val="bottom"/>
            <w:shd w:val="clear" w:color="auto" w:fill="CCECFF"/>
          </w:tcPr>
          <w:p>
            <w:pPr>
              <w:jc w:val="center"/>
              <w:ind w:left="53"/>
              <w:spacing w:after="0"/>
              <w:rPr>
                <w:sz w:val="20"/>
                <w:szCs w:val="20"/>
                <w:color w:val="auto"/>
              </w:rPr>
            </w:pPr>
            <w:r>
              <w:rPr>
                <w:rFonts w:ascii="Times New Roman" w:cs="Times New Roman" w:eastAsia="Times New Roman" w:hAnsi="Times New Roman"/>
                <w:sz w:val="13"/>
                <w:szCs w:val="13"/>
                <w:color w:val="auto"/>
              </w:rPr>
              <w:t>LCO2 – HMG/C</w:t>
            </w:r>
          </w:p>
        </w:tc>
        <w:tc>
          <w:tcPr>
            <w:tcW w:w="1940" w:type="dxa"/>
            <w:vAlign w:val="bottom"/>
            <w:shd w:val="clear" w:color="auto" w:fill="CCECFF"/>
          </w:tcPr>
          <w:p>
            <w:pPr>
              <w:jc w:val="center"/>
              <w:ind w:left="73"/>
              <w:spacing w:after="0"/>
              <w:rPr>
                <w:sz w:val="20"/>
                <w:szCs w:val="20"/>
                <w:color w:val="auto"/>
              </w:rPr>
            </w:pPr>
            <w:r>
              <w:rPr>
                <w:rFonts w:ascii="Times New Roman" w:cs="Times New Roman" w:eastAsia="Times New Roman" w:hAnsi="Times New Roman"/>
                <w:sz w:val="13"/>
                <w:szCs w:val="13"/>
                <w:color w:val="auto"/>
              </w:rPr>
              <w:t>8404</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22,000</w:t>
            </w:r>
          </w:p>
        </w:tc>
        <w:tc>
          <w:tcPr>
            <w:tcW w:w="3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Hyundai Mipo</w:t>
            </w:r>
          </w:p>
        </w:tc>
        <w:tc>
          <w:tcPr>
            <w:tcW w:w="1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Sep-26</w:t>
            </w: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7,644</w:t>
            </w:r>
          </w:p>
        </w:tc>
        <w:tc>
          <w:tcPr>
            <w:tcW w:w="0" w:type="dxa"/>
            <w:vAlign w:val="bottom"/>
          </w:tcPr>
          <w:p>
            <w:pPr>
              <w:spacing w:after="0"/>
              <w:rPr>
                <w:sz w:val="1"/>
                <w:szCs w:val="1"/>
                <w:color w:val="auto"/>
              </w:rPr>
            </w:pPr>
          </w:p>
        </w:tc>
      </w:tr>
      <w:tr>
        <w:trPr>
          <w:trHeight w:val="160"/>
        </w:trPr>
        <w:tc>
          <w:tcPr>
            <w:tcW w:w="1420" w:type="dxa"/>
            <w:vAlign w:val="bottom"/>
            <w:tcBorders>
              <w:bottom w:val="single" w:sz="8" w:color="auto"/>
            </w:tcBorders>
          </w:tcPr>
          <w:p>
            <w:pPr>
              <w:jc w:val="center"/>
              <w:ind w:left="53"/>
              <w:spacing w:after="0"/>
              <w:rPr>
                <w:sz w:val="20"/>
                <w:szCs w:val="20"/>
                <w:color w:val="auto"/>
              </w:rPr>
            </w:pPr>
            <w:r>
              <w:rPr>
                <w:rFonts w:ascii="Times New Roman" w:cs="Times New Roman" w:eastAsia="Times New Roman" w:hAnsi="Times New Roman"/>
                <w:sz w:val="13"/>
                <w:szCs w:val="13"/>
                <w:color w:val="auto"/>
              </w:rPr>
              <w:t>LCO2 – HMG/C</w:t>
            </w:r>
          </w:p>
        </w:tc>
        <w:tc>
          <w:tcPr>
            <w:tcW w:w="1940" w:type="dxa"/>
            <w:vAlign w:val="bottom"/>
            <w:tcBorders>
              <w:bottom w:val="single" w:sz="8" w:color="auto"/>
            </w:tcBorders>
          </w:tcPr>
          <w:p>
            <w:pPr>
              <w:jc w:val="center"/>
              <w:ind w:left="73"/>
              <w:spacing w:after="0"/>
              <w:rPr>
                <w:sz w:val="20"/>
                <w:szCs w:val="20"/>
                <w:color w:val="auto"/>
              </w:rPr>
            </w:pPr>
            <w:r>
              <w:rPr>
                <w:rFonts w:ascii="Times New Roman" w:cs="Times New Roman" w:eastAsia="Times New Roman" w:hAnsi="Times New Roman"/>
                <w:sz w:val="13"/>
                <w:szCs w:val="13"/>
                <w:color w:val="auto"/>
              </w:rPr>
              <w:t>8405</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22,000</w:t>
            </w: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Hyundai Mipo</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Nov-26</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7,644</w:t>
            </w:r>
          </w:p>
        </w:tc>
        <w:tc>
          <w:tcPr>
            <w:tcW w:w="0" w:type="dxa"/>
            <w:vAlign w:val="bottom"/>
          </w:tcPr>
          <w:p>
            <w:pPr>
              <w:spacing w:after="0"/>
              <w:rPr>
                <w:sz w:val="1"/>
                <w:szCs w:val="1"/>
                <w:color w:val="auto"/>
              </w:rPr>
            </w:pPr>
          </w:p>
        </w:tc>
      </w:tr>
      <w:tr>
        <w:trPr>
          <w:trHeight w:val="150"/>
        </w:trPr>
        <w:tc>
          <w:tcPr>
            <w:tcW w:w="1420" w:type="dxa"/>
            <w:vAlign w:val="bottom"/>
            <w:tcBorders>
              <w:bottom w:val="single" w:sz="8" w:color="auto"/>
            </w:tcBorders>
            <w:shd w:val="clear" w:color="auto" w:fill="CCECFF"/>
          </w:tcPr>
          <w:p>
            <w:pPr>
              <w:jc w:val="center"/>
              <w:ind w:left="73"/>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940" w:type="dxa"/>
            <w:vAlign w:val="bottom"/>
            <w:tcBorders>
              <w:bottom w:val="single" w:sz="8" w:color="auto"/>
            </w:tcBorders>
            <w:shd w:val="clear" w:color="auto" w:fill="CCECFF"/>
          </w:tcPr>
          <w:p>
            <w:pPr>
              <w:spacing w:after="0"/>
              <w:rPr>
                <w:sz w:val="13"/>
                <w:szCs w:val="13"/>
                <w:color w:val="auto"/>
              </w:rPr>
            </w:pPr>
          </w:p>
        </w:tc>
        <w:tc>
          <w:tcPr>
            <w:tcW w:w="1520" w:type="dxa"/>
            <w:vAlign w:val="bottom"/>
            <w:tcBorders>
              <w:bottom w:val="single" w:sz="8" w:color="auto"/>
            </w:tcBorders>
            <w:shd w:val="clear" w:color="auto" w:fill="CCECFF"/>
          </w:tcPr>
          <w:p>
            <w:pPr>
              <w:spacing w:after="0"/>
              <w:rPr>
                <w:sz w:val="13"/>
                <w:szCs w:val="13"/>
                <w:color w:val="auto"/>
              </w:rPr>
            </w:pPr>
          </w:p>
        </w:tc>
        <w:tc>
          <w:tcPr>
            <w:tcW w:w="3320" w:type="dxa"/>
            <w:vAlign w:val="bottom"/>
            <w:tcBorders>
              <w:bottom w:val="single" w:sz="8" w:color="auto"/>
            </w:tcBorders>
            <w:shd w:val="clear" w:color="auto" w:fill="CCECFF"/>
          </w:tcPr>
          <w:p>
            <w:pPr>
              <w:spacing w:after="0"/>
              <w:rPr>
                <w:sz w:val="13"/>
                <w:szCs w:val="13"/>
                <w:color w:val="auto"/>
              </w:rPr>
            </w:pPr>
          </w:p>
        </w:tc>
        <w:tc>
          <w:tcPr>
            <w:tcW w:w="1860" w:type="dxa"/>
            <w:vAlign w:val="bottom"/>
            <w:tcBorders>
              <w:bottom w:val="single" w:sz="8" w:color="auto"/>
            </w:tcBorders>
            <w:shd w:val="clear" w:color="auto" w:fill="CCECFF"/>
          </w:tcPr>
          <w:p>
            <w:pPr>
              <w:spacing w:after="0"/>
              <w:rPr>
                <w:sz w:val="13"/>
                <w:szCs w:val="13"/>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  74,654</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auto"/>
        </w:rPr>
        <w:t>The Umbrella Agreement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auto"/>
        </w:rPr>
        <w:t>Acquisition of 11 LNG/Cs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On November 13, 2023, the Company entered into an umbrella agreement (the “Umbrella Agreement”) with CMTC and CGP, providing for the acquisition of the following companies each of which owning 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LNG/C vessel (the “Newbuild Vessels”) under construction at Hyundai Heavy Industries Co., LTD and Hyundai Samho Heavy Industries Co. Ltd., South Korea (collectively, “Hyundai”):</w:t>
      </w:r>
    </w:p>
    <w:p>
      <w:pPr>
        <w:spacing w:after="0" w:line="237" w:lineRule="exact"/>
        <w:rPr>
          <w:sz w:val="20"/>
          <w:szCs w:val="20"/>
          <w:color w:val="auto"/>
        </w:rPr>
      </w:pPr>
    </w:p>
    <w:p>
      <w:pPr>
        <w:jc w:val="right"/>
        <w:spacing w:after="0"/>
        <w:tabs>
          <w:tab w:leader="none" w:pos="920" w:val="left"/>
        </w:tabs>
        <w:rPr>
          <w:sz w:val="20"/>
          <w:szCs w:val="20"/>
          <w:color w:val="auto"/>
        </w:rPr>
      </w:pPr>
      <w:r>
        <w:rPr>
          <w:rFonts w:ascii="Times New Roman" w:cs="Times New Roman" w:eastAsia="Times New Roman" w:hAnsi="Times New Roman"/>
          <w:sz w:val="13"/>
          <w:szCs w:val="13"/>
          <w:color w:val="auto"/>
        </w:rPr>
        <w:t>F- 15</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3"/>
          <w:szCs w:val="13"/>
          <w:b w:val="1"/>
          <w:bCs w:val="1"/>
          <w:color w:val="auto"/>
        </w:rPr>
        <w:t>Capital Clean Energy Carriers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United States Dollars, unless otherwise specified)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5. Transactions with Related Parties - Continued</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1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i w:val="1"/>
                <w:iCs w:val="1"/>
                <w:color w:val="auto"/>
              </w:rPr>
              <w:t>The Umbrella Agreement - Continued</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81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i w:val="1"/>
                <w:iCs w:val="1"/>
                <w:color w:val="auto"/>
              </w:rPr>
              <w:t>Acquisition of 11 LNG/Cs - Continued</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Delivery / Expected delivery</w:t>
            </w:r>
          </w:p>
        </w:tc>
        <w:tc>
          <w:tcPr>
            <w:tcW w:w="0" w:type="dxa"/>
            <w:vAlign w:val="bottom"/>
          </w:tcPr>
          <w:p>
            <w:pPr>
              <w:spacing w:after="0"/>
              <w:rPr>
                <w:sz w:val="1"/>
                <w:szCs w:val="1"/>
                <w:color w:val="auto"/>
              </w:rPr>
            </w:pPr>
          </w:p>
        </w:tc>
      </w:tr>
      <w:tr>
        <w:trPr>
          <w:trHeight w:val="155"/>
        </w:trPr>
        <w:tc>
          <w:tcPr>
            <w:tcW w:w="210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Hull Number / Vessel name</w:t>
            </w:r>
          </w:p>
        </w:tc>
        <w:tc>
          <w:tcPr>
            <w:tcW w:w="6080" w:type="dxa"/>
            <w:vAlign w:val="bottom"/>
            <w:gridSpan w:val="2"/>
            <w:vMerge w:val="restart"/>
          </w:tcPr>
          <w:p>
            <w:pPr>
              <w:spacing w:after="0"/>
              <w:rPr>
                <w:sz w:val="13"/>
                <w:szCs w:val="13"/>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CBM</w:t>
            </w:r>
          </w:p>
        </w:tc>
        <w:tc>
          <w:tcPr>
            <w:tcW w:w="1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100" w:type="dxa"/>
            <w:vAlign w:val="bottom"/>
            <w:gridSpan w:val="3"/>
            <w:vMerge w:val="continue"/>
          </w:tcPr>
          <w:p>
            <w:pPr>
              <w:spacing w:after="0"/>
              <w:rPr>
                <w:sz w:val="8"/>
                <w:szCs w:val="8"/>
                <w:color w:val="auto"/>
              </w:rPr>
            </w:pPr>
          </w:p>
        </w:tc>
        <w:tc>
          <w:tcPr>
            <w:tcW w:w="608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date to the Company</w:t>
            </w:r>
          </w:p>
        </w:tc>
        <w:tc>
          <w:tcPr>
            <w:tcW w:w="0" w:type="dxa"/>
            <w:vAlign w:val="bottom"/>
          </w:tcPr>
          <w:p>
            <w:pPr>
              <w:spacing w:after="0"/>
              <w:rPr>
                <w:sz w:val="1"/>
                <w:szCs w:val="1"/>
                <w:color w:val="auto"/>
              </w:rPr>
            </w:pPr>
          </w:p>
        </w:tc>
      </w:tr>
      <w:tr>
        <w:trPr>
          <w:trHeight w:val="80"/>
        </w:trPr>
        <w:tc>
          <w:tcPr>
            <w:tcW w:w="62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808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Hull 3315 - LNG/C Amore Mio I</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174,000</w:t>
            </w:r>
          </w:p>
        </w:tc>
        <w:tc>
          <w:tcPr>
            <w:tcW w:w="120" w:type="dxa"/>
            <w:vAlign w:val="bottom"/>
            <w:shd w:val="clear" w:color="auto" w:fill="CCEEFF"/>
          </w:tcPr>
          <w:p>
            <w:pPr>
              <w:spacing w:after="0"/>
              <w:rPr>
                <w:sz w:val="13"/>
                <w:szCs w:val="13"/>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Delivered on December 21, 2023</w:t>
            </w:r>
          </w:p>
        </w:tc>
        <w:tc>
          <w:tcPr>
            <w:tcW w:w="0" w:type="dxa"/>
            <w:vAlign w:val="bottom"/>
          </w:tcPr>
          <w:p>
            <w:pPr>
              <w:spacing w:after="0"/>
              <w:rPr>
                <w:sz w:val="1"/>
                <w:szCs w:val="1"/>
                <w:color w:val="auto"/>
              </w:rPr>
            </w:pPr>
          </w:p>
        </w:tc>
      </w:tr>
      <w:tr>
        <w:trPr>
          <w:trHeight w:val="170"/>
        </w:trPr>
        <w:tc>
          <w:tcPr>
            <w:tcW w:w="8180" w:type="dxa"/>
            <w:vAlign w:val="bottom"/>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Initial Vessels</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8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Hull 3316 - LNG/C Axios II</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174,000</w:t>
            </w:r>
          </w:p>
        </w:tc>
        <w:tc>
          <w:tcPr>
            <w:tcW w:w="12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Delivered on January 2, 2024</w:t>
            </w:r>
          </w:p>
        </w:tc>
        <w:tc>
          <w:tcPr>
            <w:tcW w:w="0" w:type="dxa"/>
            <w:vAlign w:val="bottom"/>
          </w:tcPr>
          <w:p>
            <w:pPr>
              <w:spacing w:after="0"/>
              <w:rPr>
                <w:sz w:val="1"/>
                <w:szCs w:val="1"/>
                <w:color w:val="auto"/>
              </w:rPr>
            </w:pPr>
          </w:p>
        </w:tc>
      </w:tr>
      <w:tr>
        <w:trPr>
          <w:trHeight w:val="170"/>
        </w:trPr>
        <w:tc>
          <w:tcPr>
            <w:tcW w:w="8180" w:type="dxa"/>
            <w:vAlign w:val="bottom"/>
            <w:gridSpan w:val="5"/>
          </w:tcPr>
          <w:p>
            <w:pPr>
              <w:ind w:left="80"/>
              <w:spacing w:after="0"/>
              <w:rPr>
                <w:sz w:val="20"/>
                <w:szCs w:val="20"/>
                <w:color w:val="auto"/>
              </w:rPr>
            </w:pPr>
            <w:r>
              <w:rPr>
                <w:rFonts w:ascii="Times New Roman" w:cs="Times New Roman" w:eastAsia="Times New Roman" w:hAnsi="Times New Roman"/>
                <w:sz w:val="13"/>
                <w:szCs w:val="13"/>
                <w:color w:val="auto"/>
              </w:rPr>
              <w:t>Hull 3341 - LNG/C Assos</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174,000</w:t>
            </w:r>
          </w:p>
        </w:tc>
        <w:tc>
          <w:tcPr>
            <w:tcW w:w="12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Delivered on May 31, 2024</w:t>
            </w:r>
          </w:p>
        </w:tc>
        <w:tc>
          <w:tcPr>
            <w:tcW w:w="0" w:type="dxa"/>
            <w:vAlign w:val="bottom"/>
          </w:tcPr>
          <w:p>
            <w:pPr>
              <w:spacing w:after="0"/>
              <w:rPr>
                <w:sz w:val="1"/>
                <w:szCs w:val="1"/>
                <w:color w:val="auto"/>
              </w:rPr>
            </w:pPr>
          </w:p>
        </w:tc>
      </w:tr>
      <w:tr>
        <w:trPr>
          <w:trHeight w:val="170"/>
        </w:trPr>
        <w:tc>
          <w:tcPr>
            <w:tcW w:w="818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Hull 3342 - LNG/C Apostolos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174,000</w:t>
            </w:r>
          </w:p>
        </w:tc>
        <w:tc>
          <w:tcPr>
            <w:tcW w:w="12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Delivered on June 28, 2024</w:t>
            </w:r>
          </w:p>
        </w:tc>
        <w:tc>
          <w:tcPr>
            <w:tcW w:w="0" w:type="dxa"/>
            <w:vAlign w:val="bottom"/>
          </w:tcPr>
          <w:p>
            <w:pPr>
              <w:spacing w:after="0"/>
              <w:rPr>
                <w:sz w:val="1"/>
                <w:szCs w:val="1"/>
                <w:color w:val="auto"/>
              </w:rPr>
            </w:pPr>
          </w:p>
        </w:tc>
      </w:tr>
      <w:tr>
        <w:trPr>
          <w:trHeight w:val="170"/>
        </w:trPr>
        <w:tc>
          <w:tcPr>
            <w:tcW w:w="8180" w:type="dxa"/>
            <w:vAlign w:val="bottom"/>
            <w:gridSpan w:val="5"/>
          </w:tcPr>
          <w:p>
            <w:pPr>
              <w:ind w:left="80"/>
              <w:spacing w:after="0"/>
              <w:rPr>
                <w:sz w:val="20"/>
                <w:szCs w:val="20"/>
                <w:color w:val="auto"/>
              </w:rPr>
            </w:pPr>
            <w:r>
              <w:rPr>
                <w:rFonts w:ascii="Times New Roman" w:cs="Times New Roman" w:eastAsia="Times New Roman" w:hAnsi="Times New Roman"/>
                <w:sz w:val="13"/>
                <w:szCs w:val="13"/>
                <w:color w:val="auto"/>
              </w:rPr>
              <w:t>Hull 8140 - LNG/C Aktoras</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174,000</w:t>
            </w:r>
          </w:p>
        </w:tc>
        <w:tc>
          <w:tcPr>
            <w:tcW w:w="12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Delivered on June 5, 2024</w:t>
            </w:r>
          </w:p>
        </w:tc>
        <w:tc>
          <w:tcPr>
            <w:tcW w:w="0" w:type="dxa"/>
            <w:vAlign w:val="bottom"/>
          </w:tcPr>
          <w:p>
            <w:pPr>
              <w:spacing w:after="0"/>
              <w:rPr>
                <w:sz w:val="1"/>
                <w:szCs w:val="1"/>
                <w:color w:val="auto"/>
              </w:rPr>
            </w:pPr>
          </w:p>
        </w:tc>
      </w:tr>
      <w:tr>
        <w:trPr>
          <w:trHeight w:val="170"/>
        </w:trPr>
        <w:tc>
          <w:tcPr>
            <w:tcW w:w="818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Hull 8198 - LNG/C Archimidis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174,000</w:t>
            </w:r>
          </w:p>
        </w:tc>
        <w:tc>
          <w:tcPr>
            <w:tcW w:w="12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July 2026</w:t>
            </w:r>
          </w:p>
        </w:tc>
        <w:tc>
          <w:tcPr>
            <w:tcW w:w="0" w:type="dxa"/>
            <w:vAlign w:val="bottom"/>
          </w:tcPr>
          <w:p>
            <w:pPr>
              <w:spacing w:after="0"/>
              <w:rPr>
                <w:sz w:val="1"/>
                <w:szCs w:val="1"/>
                <w:color w:val="auto"/>
              </w:rPr>
            </w:pPr>
          </w:p>
        </w:tc>
      </w:tr>
      <w:tr>
        <w:trPr>
          <w:trHeight w:val="170"/>
        </w:trPr>
        <w:tc>
          <w:tcPr>
            <w:tcW w:w="8180" w:type="dxa"/>
            <w:vAlign w:val="bottom"/>
            <w:gridSpan w:val="5"/>
          </w:tcPr>
          <w:p>
            <w:pPr>
              <w:ind w:left="80"/>
              <w:spacing w:after="0"/>
              <w:rPr>
                <w:sz w:val="20"/>
                <w:szCs w:val="20"/>
                <w:color w:val="auto"/>
              </w:rPr>
            </w:pPr>
            <w:r>
              <w:rPr>
                <w:rFonts w:ascii="Times New Roman" w:cs="Times New Roman" w:eastAsia="Times New Roman" w:hAnsi="Times New Roman"/>
                <w:sz w:val="13"/>
                <w:szCs w:val="13"/>
                <w:color w:val="auto"/>
              </w:rPr>
              <w:t>Hull 8199 - LNG/C Agamemnon</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174,000</w:t>
            </w:r>
          </w:p>
        </w:tc>
        <w:tc>
          <w:tcPr>
            <w:tcW w:w="12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January 2027</w:t>
            </w:r>
          </w:p>
        </w:tc>
        <w:tc>
          <w:tcPr>
            <w:tcW w:w="0" w:type="dxa"/>
            <w:vAlign w:val="bottom"/>
          </w:tcPr>
          <w:p>
            <w:pPr>
              <w:spacing w:after="0"/>
              <w:rPr>
                <w:sz w:val="1"/>
                <w:szCs w:val="1"/>
                <w:color w:val="auto"/>
              </w:rPr>
            </w:pPr>
          </w:p>
        </w:tc>
      </w:tr>
      <w:tr>
        <w:trPr>
          <w:trHeight w:val="170"/>
        </w:trPr>
        <w:tc>
          <w:tcPr>
            <w:tcW w:w="818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Remaining Vessels</w:t>
            </w: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9"/>
              </w:rPr>
              <w:t>Hull 8202</w:t>
            </w:r>
          </w:p>
        </w:tc>
        <w:tc>
          <w:tcPr>
            <w:tcW w:w="75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 LNG/C Alcaios I</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174,000</w:t>
            </w:r>
          </w:p>
        </w:tc>
        <w:tc>
          <w:tcPr>
            <w:tcW w:w="12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September 2026</w:t>
            </w:r>
          </w:p>
        </w:tc>
        <w:tc>
          <w:tcPr>
            <w:tcW w:w="0" w:type="dxa"/>
            <w:vAlign w:val="bottom"/>
          </w:tcPr>
          <w:p>
            <w:pPr>
              <w:spacing w:after="0"/>
              <w:rPr>
                <w:sz w:val="1"/>
                <w:szCs w:val="1"/>
                <w:color w:val="auto"/>
              </w:rPr>
            </w:pPr>
          </w:p>
        </w:tc>
      </w:tr>
      <w:tr>
        <w:trPr>
          <w:trHeight w:val="170"/>
        </w:trPr>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9"/>
              </w:rPr>
              <w:t>Hull 8203</w:t>
            </w:r>
          </w:p>
        </w:tc>
        <w:tc>
          <w:tcPr>
            <w:tcW w:w="75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LNG/C Antaios I</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174,000</w:t>
            </w:r>
          </w:p>
        </w:tc>
        <w:tc>
          <w:tcPr>
            <w:tcW w:w="12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November 2026</w:t>
            </w:r>
          </w:p>
        </w:tc>
        <w:tc>
          <w:tcPr>
            <w:tcW w:w="0" w:type="dxa"/>
            <w:vAlign w:val="bottom"/>
          </w:tcPr>
          <w:p>
            <w:pPr>
              <w:spacing w:after="0"/>
              <w:rPr>
                <w:sz w:val="1"/>
                <w:szCs w:val="1"/>
                <w:color w:val="auto"/>
              </w:rPr>
            </w:pPr>
          </w:p>
        </w:tc>
      </w:tr>
      <w:tr>
        <w:trPr>
          <w:trHeight w:val="170"/>
        </w:trPr>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9"/>
              </w:rPr>
              <w:t>Hull 8206</w:t>
            </w:r>
          </w:p>
        </w:tc>
        <w:tc>
          <w:tcPr>
            <w:tcW w:w="75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 LNG/C Athlos</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174,000</w:t>
            </w:r>
          </w:p>
        </w:tc>
        <w:tc>
          <w:tcPr>
            <w:tcW w:w="12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February 2027</w:t>
            </w:r>
          </w:p>
        </w:tc>
        <w:tc>
          <w:tcPr>
            <w:tcW w:w="0" w:type="dxa"/>
            <w:vAlign w:val="bottom"/>
          </w:tcPr>
          <w:p>
            <w:pPr>
              <w:spacing w:after="0"/>
              <w:rPr>
                <w:sz w:val="1"/>
                <w:szCs w:val="1"/>
                <w:color w:val="auto"/>
              </w:rPr>
            </w:pPr>
          </w:p>
        </w:tc>
      </w:tr>
      <w:tr>
        <w:trPr>
          <w:trHeight w:val="170"/>
        </w:trPr>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9"/>
              </w:rPr>
              <w:t>Hull 8207</w:t>
            </w:r>
          </w:p>
        </w:tc>
        <w:tc>
          <w:tcPr>
            <w:tcW w:w="75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LNG/C Archon</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174,000</w:t>
            </w:r>
          </w:p>
        </w:tc>
        <w:tc>
          <w:tcPr>
            <w:tcW w:w="12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March 2027</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During the year ended December 31, 2024, pursuant to the Umbrella Agreement, the Company acquired from CMTC the shares of the vessel-owning companies of the LNG/C Axios II, the LNG/C Assos, the LNG/C Aktoras and the LNG/C Apostolos for a total consideration of $1,204,000. During 2023, the Company paid $54,000 advances to CMTC for the remaining two Initial Vessels namely the LNG/C Archimidis and the LNG/C Agamemnon. These vessels will be delivered to the Company upon the completion of their construction. Upon delivery, each vessel-owning company of the LNG/C Assos, the LNG/C Axios II the LNG/C Apostolos and the M/T Aktoras entered into a floating/fixed fee management agreement with Capital-Gas Management.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Umbrella Seller’s Credit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On December 21, 2023, CMTC issued to the Company the Umbrella Seller’s Credit in an amount equal to $220,000 to finance a portion of the purchase price for certain of the Newbuild Vessels (Note 8).</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On the acquisition of the LNG/C Axios II, the LNG/C Aktoras and the LNG/C Apostolos, the Company drew $134,764 in total.</w:t>
      </w:r>
    </w:p>
    <w:p>
      <w:pPr>
        <w:spacing w:after="0" w:line="17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On February 28, March 11, April 24 and November 26, 2024, after the deliveries of the M/V Long Beach Express, the M/V Akadimos, the M/V Athenian and the M/V Hyundai Premium to their new owners, the Company repaid the amounts of $12,789, $39,973, $39,838 and $42,164, respectively (Notes 3, 8).</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December 31, 2024, there were no amounts outstanding or unutilized under the Umbrella Seller’s Credit.</w:t>
      </w:r>
    </w:p>
    <w:p>
      <w:pPr>
        <w:spacing w:after="0" w:line="250" w:lineRule="exact"/>
        <w:rPr>
          <w:sz w:val="20"/>
          <w:szCs w:val="20"/>
          <w:color w:val="auto"/>
        </w:rPr>
      </w:pPr>
    </w:p>
    <w:p>
      <w:pPr>
        <w:jc w:val="right"/>
        <w:spacing w:after="0"/>
        <w:tabs>
          <w:tab w:leader="none" w:pos="920" w:val="left"/>
        </w:tabs>
        <w:rPr>
          <w:sz w:val="20"/>
          <w:szCs w:val="20"/>
          <w:color w:val="auto"/>
        </w:rPr>
      </w:pPr>
      <w:r>
        <w:rPr>
          <w:rFonts w:ascii="Times New Roman" w:cs="Times New Roman" w:eastAsia="Times New Roman" w:hAnsi="Times New Roman"/>
          <w:sz w:val="13"/>
          <w:szCs w:val="13"/>
          <w:color w:val="auto"/>
        </w:rPr>
        <w:t>F- 16</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67880"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3"/>
          <w:szCs w:val="13"/>
          <w:b w:val="1"/>
          <w:bCs w:val="1"/>
          <w:color w:val="auto"/>
        </w:rPr>
        <w:t>Capital Clean Energy Carriers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United States Dollars, unless otherwise specified)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 Transactions with Related Parties - Continued</w:t>
      </w:r>
    </w:p>
    <w:p>
      <w:pPr>
        <w:spacing w:after="0" w:line="112"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3"/>
          <w:szCs w:val="13"/>
          <w:color w:val="auto"/>
        </w:rPr>
        <w:t>Further to the transactions described above, the Company and its subsidiaries have related party transactions with CSM, Capital-Containers and Capital-Gas Management, (collectively “Managers”), and CGP, arising from certain terms of the following management and administrative services agreements.</w:t>
      </w:r>
    </w:p>
    <w:p>
      <w:pPr>
        <w:spacing w:after="0" w:line="112" w:lineRule="exact"/>
        <w:rPr>
          <w:sz w:val="20"/>
          <w:szCs w:val="20"/>
          <w:color w:val="auto"/>
        </w:rPr>
      </w:pPr>
    </w:p>
    <w:p>
      <w:pPr>
        <w:jc w:val="both"/>
        <w:spacing w:after="0" w:line="266" w:lineRule="auto"/>
        <w:tabs>
          <w:tab w:leader="none" w:pos="135" w:val="left"/>
        </w:tabs>
        <w:numPr>
          <w:ilvl w:val="0"/>
          <w:numId w:val="14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Floating fee management agreements: </w:t>
      </w:r>
      <w:r>
        <w:rPr>
          <w:rFonts w:ascii="Times New Roman" w:cs="Times New Roman" w:eastAsia="Times New Roman" w:hAnsi="Times New Roman"/>
          <w:sz w:val="13"/>
          <w:szCs w:val="13"/>
          <w:color w:val="auto"/>
        </w:rPr>
        <w:t>Under the terms of these agreements the Company compensates its Managers for expenses and liabilities incurred on the Company’s behalf while providing the agreed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services, including, but not limited to, crew, repairs and maintenance, insurance, stores, spares, lubricants and other operating costs. Costs and expenses associated with a managed vessel’s next scheduled dry-docking are borne by the Company and not by the Managers. The Company also pays its Managers a daily technical management fee per managed vessel that is revised annually based on the United States Consumer Price Index. For the years ended December 31, 2025, 2024 and 2023, management fees under the management agreements amounted to $8,793, $8,617 and $6,165, respectively, and are included in “Vessel operating expenses - related parties” in the consolidated statements of comprehensive income.</w:t>
      </w:r>
    </w:p>
    <w:p>
      <w:pPr>
        <w:spacing w:after="0" w:line="129" w:lineRule="exact"/>
        <w:rPr>
          <w:rFonts w:ascii="Times New Roman" w:cs="Times New Roman" w:eastAsia="Times New Roman" w:hAnsi="Times New Roman"/>
          <w:sz w:val="13"/>
          <w:szCs w:val="13"/>
          <w:b w:val="1"/>
          <w:bCs w:val="1"/>
          <w:color w:val="auto"/>
        </w:rPr>
      </w:pPr>
    </w:p>
    <w:p>
      <w:pPr>
        <w:jc w:val="both"/>
        <w:spacing w:after="0" w:line="276" w:lineRule="auto"/>
        <w:tabs>
          <w:tab w:leader="none" w:pos="139" w:val="left"/>
        </w:tabs>
        <w:numPr>
          <w:ilvl w:val="0"/>
          <w:numId w:val="14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Fixed fee management agreements: </w:t>
      </w:r>
      <w:r>
        <w:rPr>
          <w:rFonts w:ascii="Times New Roman" w:cs="Times New Roman" w:eastAsia="Times New Roman" w:hAnsi="Times New Roman"/>
          <w:sz w:val="13"/>
          <w:szCs w:val="13"/>
          <w:color w:val="auto"/>
        </w:rPr>
        <w:t>Under the terms of these agreements the Company pays a fixed daily fee per bareboat chartered vessel in its fleet, mainly to cover commercial and administrative costs.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For the years ended December 31, 2025, 2024 and 2023 management fees under the management agreements amounted to $351, $105 and nil, respectively, and are included in “Vessel operating expenses - related parties” in the consolidated statements of comprehensive income.</w:t>
      </w:r>
    </w:p>
    <w:p>
      <w:pPr>
        <w:spacing w:after="0" w:line="123" w:lineRule="exact"/>
        <w:rPr>
          <w:rFonts w:ascii="Times New Roman" w:cs="Times New Roman" w:eastAsia="Times New Roman" w:hAnsi="Times New Roman"/>
          <w:sz w:val="13"/>
          <w:szCs w:val="13"/>
          <w:b w:val="1"/>
          <w:bCs w:val="1"/>
          <w:color w:val="auto"/>
        </w:rPr>
      </w:pPr>
    </w:p>
    <w:p>
      <w:pPr>
        <w:jc w:val="both"/>
        <w:spacing w:after="0" w:line="262" w:lineRule="auto"/>
        <w:tabs>
          <w:tab w:leader="none" w:pos="141" w:val="left"/>
        </w:tabs>
        <w:numPr>
          <w:ilvl w:val="0"/>
          <w:numId w:val="14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Administrative and service agreements: </w:t>
      </w:r>
      <w:r>
        <w:rPr>
          <w:rFonts w:ascii="Times New Roman" w:cs="Times New Roman" w:eastAsia="Times New Roman" w:hAnsi="Times New Roman"/>
          <w:sz w:val="13"/>
          <w:szCs w:val="13"/>
          <w:color w:val="auto"/>
        </w:rPr>
        <w:t>On April 4, 2007, the Company entered into an administrative services agreement with CSM, pursuant to which CSM has agreed to provide certain administrative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management services to the Company such as accounting, auditing, legal, insurance, IT and clerical services. In addition, the Company reimburses CSM and CGP for reasonable costs and expenses incurred in connection with the provision of these services, after CSM and/or CGP submits to the Company an invoice for such costs and expenses together with any supporting detail that may be reasonably required. These expenses are included in “General and administrative expenses” in the consolidated statements of comprehensive income. In 2015, the Partnership entered into an executive services agreement with CGP, which was amended in 2016, 2019, 2023 and 2024. In connection with the Conversion, the Company entered into a new executive services agreement with CGP. According to the executive services agreements, CGP provided and continues to provide certain executive officers’ services for the management of the Company’s business as well as investor relations and corporate support services to the Company. For the years ended December 31, 2025, 2024 and 2023 the fees under the executive services agreement with CGP amounted to $3,500, $2,752 and $2,350, respectively and are included in “General and administrative expenses” in the consolidated statements of comprehensive income.</w:t>
      </w:r>
    </w:p>
    <w:p>
      <w:pPr>
        <w:spacing w:after="0" w:line="131" w:lineRule="exact"/>
        <w:rPr>
          <w:rFonts w:ascii="Times New Roman" w:cs="Times New Roman" w:eastAsia="Times New Roman" w:hAnsi="Times New Roman"/>
          <w:sz w:val="13"/>
          <w:szCs w:val="13"/>
          <w:b w:val="1"/>
          <w:bCs w:val="1"/>
          <w:color w:val="auto"/>
        </w:rPr>
      </w:pPr>
    </w:p>
    <w:p>
      <w:pPr>
        <w:jc w:val="both"/>
        <w:spacing w:after="0" w:line="276" w:lineRule="auto"/>
        <w:tabs>
          <w:tab w:leader="none" w:pos="140" w:val="left"/>
        </w:tabs>
        <w:numPr>
          <w:ilvl w:val="0"/>
          <w:numId w:val="14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Supervision services agreements: </w:t>
      </w:r>
      <w:r>
        <w:rPr>
          <w:rFonts w:ascii="Times New Roman" w:cs="Times New Roman" w:eastAsia="Times New Roman" w:hAnsi="Times New Roman"/>
          <w:sz w:val="13"/>
          <w:szCs w:val="13"/>
          <w:color w:val="auto"/>
        </w:rPr>
        <w:t>Under the terms of these agreements, the Company pays a fixed fee to Capital-Gas Management in order to supervise the performance of the design, building, equipment,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completion and delivery by the shipyard of the respective vessels. For the years ended December 31, 2025 and 2024 the Company recognized the amounts of $4,100 and $1,433 respectively as part of the construction cost and paid the amounts of $2,717 and $3,317, respectively in connection with the supervision services agreements.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Balances and transactions with related parties consisted of the following:</w:t>
      </w:r>
    </w:p>
    <w:p>
      <w:pPr>
        <w:spacing w:after="0" w:line="168"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3"/>
          <w:szCs w:val="13"/>
          <w:b w:val="1"/>
          <w:bCs w:val="1"/>
          <w:color w:val="auto"/>
        </w:rPr>
        <w:t>As of December 31</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67880" cy="1016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7167880" cy="101600"/>
                    </a:xfrm>
                    <a:prstGeom prst="rect">
                      <a:avLst/>
                    </a:prstGeom>
                    <a:noFill/>
                  </pic:spPr>
                </pic:pic>
              </a:graphicData>
            </a:graphic>
          </wp:anchor>
        </w:drawing>
      </w:r>
    </w:p>
    <w:p>
      <w:pPr>
        <w:spacing w:after="0" w:line="5" w:lineRule="exact"/>
        <w:rPr>
          <w:sz w:val="20"/>
          <w:szCs w:val="20"/>
          <w:color w:val="auto"/>
        </w:rPr>
      </w:pPr>
    </w:p>
    <w:p>
      <w:pPr>
        <w:spacing w:after="0"/>
        <w:tabs>
          <w:tab w:leader="none" w:pos="9580" w:val="left"/>
          <w:tab w:leader="none" w:pos="11000" w:val="left"/>
        </w:tabs>
        <w:rPr>
          <w:sz w:val="20"/>
          <w:szCs w:val="20"/>
          <w:color w:val="auto"/>
        </w:rPr>
      </w:pPr>
      <w:r>
        <w:rPr>
          <w:rFonts w:ascii="Times New Roman" w:cs="Times New Roman" w:eastAsia="Times New Roman" w:hAnsi="Times New Roman"/>
          <w:sz w:val="13"/>
          <w:szCs w:val="13"/>
          <w:b w:val="1"/>
          <w:bCs w:val="1"/>
          <w:color w:val="auto"/>
        </w:rPr>
        <w:t>Consolidated Balance Sheets</w:t>
      </w:r>
      <w:r>
        <w:rPr>
          <w:sz w:val="20"/>
          <w:szCs w:val="20"/>
          <w:color w:val="auto"/>
        </w:rPr>
        <w:tab/>
      </w:r>
      <w:r>
        <w:rPr>
          <w:rFonts w:ascii="Times New Roman" w:cs="Times New Roman" w:eastAsia="Times New Roman" w:hAnsi="Times New Roman"/>
          <w:sz w:val="13"/>
          <w:szCs w:val="13"/>
          <w:b w:val="1"/>
          <w:bCs w:val="1"/>
          <w:color w:val="auto"/>
        </w:rPr>
        <w:t>2025</w:t>
      </w:r>
      <w:r>
        <w:rPr>
          <w:sz w:val="20"/>
          <w:szCs w:val="20"/>
          <w:color w:val="auto"/>
        </w:rPr>
        <w:tab/>
      </w:r>
      <w:r>
        <w:rPr>
          <w:rFonts w:ascii="Times New Roman" w:cs="Times New Roman" w:eastAsia="Times New Roman" w:hAnsi="Times New Roman"/>
          <w:sz w:val="13"/>
          <w:szCs w:val="13"/>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5481955</wp:posOffset>
            </wp:positionH>
            <wp:positionV relativeFrom="paragraph">
              <wp:posOffset>6350</wp:posOffset>
            </wp:positionV>
            <wp:extent cx="1685925"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1685925" cy="6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b w:val="1"/>
          <w:bCs w:val="1"/>
          <w:color w:val="auto"/>
        </w:rPr>
        <w:t>Assets: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Capital-Gas Management - advances from the Company(a)</w:t>
            </w: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1,131</w:t>
            </w:r>
          </w:p>
        </w:tc>
      </w:tr>
      <w:tr>
        <w:trPr>
          <w:trHeight w:val="150"/>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Due from related party</w:t>
            </w:r>
          </w:p>
        </w:tc>
        <w:tc>
          <w:tcPr>
            <w:tcW w:w="32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ind w:right="2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1,131</w:t>
            </w:r>
          </w:p>
        </w:tc>
      </w:tr>
      <w:tr>
        <w:trPr>
          <w:trHeight w:val="15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60"/>
        </w:trPr>
        <w:tc>
          <w:tcPr>
            <w:tcW w:w="7340" w:type="dxa"/>
            <w:vAlign w:val="bottom"/>
          </w:tcPr>
          <w:p>
            <w:pPr>
              <w:spacing w:after="0"/>
              <w:rPr>
                <w:sz w:val="20"/>
                <w:szCs w:val="20"/>
                <w:color w:val="auto"/>
              </w:rPr>
            </w:pPr>
            <w:r>
              <w:rPr>
                <w:rFonts w:ascii="Times New Roman" w:cs="Times New Roman" w:eastAsia="Times New Roman" w:hAnsi="Times New Roman"/>
                <w:sz w:val="13"/>
                <w:szCs w:val="13"/>
                <w:color w:val="auto"/>
              </w:rPr>
              <w:t>CSM - payments on behalf of the Company (b)</w:t>
            </w: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ind w:right="28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Capital-Executive - payments on behalf of the Company (b)</w:t>
            </w: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3,508</w:t>
            </w:r>
          </w:p>
        </w:tc>
      </w:tr>
      <w:tr>
        <w:trPr>
          <w:trHeight w:val="160"/>
        </w:trPr>
        <w:tc>
          <w:tcPr>
            <w:tcW w:w="7340" w:type="dxa"/>
            <w:vAlign w:val="bottom"/>
          </w:tcPr>
          <w:p>
            <w:pPr>
              <w:spacing w:after="0"/>
              <w:rPr>
                <w:sz w:val="20"/>
                <w:szCs w:val="20"/>
                <w:color w:val="auto"/>
              </w:rPr>
            </w:pPr>
            <w:r>
              <w:rPr>
                <w:rFonts w:ascii="Times New Roman" w:cs="Times New Roman" w:eastAsia="Times New Roman" w:hAnsi="Times New Roman"/>
                <w:sz w:val="13"/>
                <w:szCs w:val="13"/>
                <w:color w:val="auto"/>
              </w:rPr>
              <w:t>Capital-Containers - payments on behalf of the Company (b)</w:t>
            </w: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1,877</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Capital-Gas Management- payments on behalf of the Company (b)</w:t>
            </w: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3,695</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73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Due to related parties</w:t>
            </w: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tcPr>
          <w:p>
            <w:pPr>
              <w:spacing w:after="0"/>
              <w:rPr>
                <w:sz w:val="13"/>
                <w:szCs w:val="13"/>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5,607</w:t>
            </w:r>
          </w:p>
        </w:tc>
        <w:tc>
          <w:tcPr>
            <w:tcW w:w="120" w:type="dxa"/>
            <w:vAlign w:val="bottom"/>
          </w:tcPr>
          <w:p>
            <w:pPr>
              <w:spacing w:after="0"/>
              <w:rPr>
                <w:sz w:val="13"/>
                <w:szCs w:val="13"/>
                <w:color w:val="auto"/>
              </w:rPr>
            </w:pPr>
          </w:p>
        </w:tc>
        <w:tc>
          <w:tcPr>
            <w:tcW w:w="400" w:type="dxa"/>
            <w:vAlign w:val="bottom"/>
          </w:tcPr>
          <w:p>
            <w:pPr>
              <w:jc w:val="right"/>
              <w:ind w:right="2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3,542</w:t>
            </w:r>
          </w:p>
        </w:tc>
      </w:tr>
      <w:tr>
        <w:trPr>
          <w:trHeight w:val="20"/>
        </w:trPr>
        <w:tc>
          <w:tcPr>
            <w:tcW w:w="7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319"/>
        </w:trPr>
        <w:tc>
          <w:tcPr>
            <w:tcW w:w="7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9"/>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820" w:type="dxa"/>
            <w:vAlign w:val="bottom"/>
          </w:tcPr>
          <w:p>
            <w:pPr>
              <w:spacing w:after="0"/>
              <w:rPr>
                <w:sz w:val="24"/>
                <w:szCs w:val="24"/>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Consolidated Statements of Comprehensive Income</w:t>
            </w:r>
          </w:p>
        </w:tc>
        <w:tc>
          <w:tcPr>
            <w:tcW w:w="3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0"/>
        </w:trPr>
        <w:tc>
          <w:tcPr>
            <w:tcW w:w="7340" w:type="dxa"/>
            <w:vAlign w:val="bottom"/>
          </w:tcPr>
          <w:p>
            <w:pPr>
              <w:spacing w:after="0"/>
              <w:rPr>
                <w:sz w:val="20"/>
                <w:szCs w:val="20"/>
                <w:color w:val="auto"/>
              </w:rPr>
            </w:pPr>
            <w:r>
              <w:rPr>
                <w:rFonts w:ascii="Times New Roman" w:cs="Times New Roman" w:eastAsia="Times New Roman" w:hAnsi="Times New Roman"/>
                <w:sz w:val="13"/>
                <w:szCs w:val="13"/>
                <w:color w:val="auto"/>
              </w:rPr>
              <w:t>Vessel operating expenses</w:t>
            </w:r>
          </w:p>
        </w:tc>
        <w:tc>
          <w:tcPr>
            <w:tcW w:w="3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9,144</w:t>
            </w: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300" w:type="dxa"/>
            <w:vAlign w:val="bottom"/>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8,722</w:t>
            </w:r>
          </w:p>
        </w:tc>
        <w:tc>
          <w:tcPr>
            <w:tcW w:w="120" w:type="dxa"/>
            <w:vAlign w:val="bottom"/>
          </w:tcPr>
          <w:p>
            <w:pPr>
              <w:spacing w:after="0"/>
              <w:rPr>
                <w:sz w:val="13"/>
                <w:szCs w:val="13"/>
                <w:color w:val="auto"/>
              </w:rPr>
            </w:pPr>
          </w:p>
        </w:tc>
        <w:tc>
          <w:tcPr>
            <w:tcW w:w="400" w:type="dxa"/>
            <w:vAlign w:val="bottom"/>
          </w:tcPr>
          <w:p>
            <w:pPr>
              <w:jc w:val="right"/>
              <w:ind w:right="28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6,165</w:t>
            </w: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General and administrative expenses (c)</w:t>
            </w:r>
          </w:p>
        </w:tc>
        <w:tc>
          <w:tcPr>
            <w:tcW w:w="3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3,708</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2,980</w:t>
            </w:r>
          </w:p>
        </w:tc>
        <w:tc>
          <w:tcPr>
            <w:tcW w:w="4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2,564</w:t>
            </w:r>
          </w:p>
        </w:tc>
      </w:tr>
      <w:tr>
        <w:trPr>
          <w:trHeight w:val="173"/>
        </w:trPr>
        <w:tc>
          <w:tcPr>
            <w:tcW w:w="734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 and finance cost (d)</w:t>
            </w:r>
          </w:p>
        </w:tc>
        <w:tc>
          <w:tcPr>
            <w:tcW w:w="32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3,174</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132" w:lineRule="exact"/>
        <w:rPr>
          <w:sz w:val="20"/>
          <w:szCs w:val="20"/>
          <w:color w:val="auto"/>
        </w:rPr>
      </w:pPr>
    </w:p>
    <w:p>
      <w:pPr>
        <w:ind w:left="180" w:hanging="180"/>
        <w:spacing w:after="0" w:line="296" w:lineRule="auto"/>
        <w:tabs>
          <w:tab w:leader="none" w:pos="180" w:val="left"/>
        </w:tabs>
        <w:numPr>
          <w:ilvl w:val="0"/>
          <w:numId w:val="14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Managers - Advances from the Company: </w:t>
      </w:r>
      <w:r>
        <w:rPr>
          <w:rFonts w:ascii="Times New Roman" w:cs="Times New Roman" w:eastAsia="Times New Roman" w:hAnsi="Times New Roman"/>
          <w:sz w:val="13"/>
          <w:szCs w:val="13"/>
          <w:color w:val="auto"/>
        </w:rPr>
        <w:t>This line item represents the amounts advanced by the Company for operating and voyage expenses that will be paid by the Managers on behalf of the Company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its subsidiaries.</w:t>
      </w:r>
    </w:p>
    <w:p>
      <w:pPr>
        <w:spacing w:after="0" w:line="110" w:lineRule="exact"/>
        <w:rPr>
          <w:rFonts w:ascii="Times New Roman" w:cs="Times New Roman" w:eastAsia="Times New Roman" w:hAnsi="Times New Roman"/>
          <w:sz w:val="13"/>
          <w:szCs w:val="13"/>
          <w:b w:val="1"/>
          <w:bCs w:val="1"/>
          <w:color w:val="auto"/>
        </w:rPr>
      </w:pPr>
    </w:p>
    <w:p>
      <w:pPr>
        <w:ind w:left="180" w:hanging="180"/>
        <w:spacing w:after="0" w:line="296" w:lineRule="auto"/>
        <w:tabs>
          <w:tab w:leader="none" w:pos="180" w:val="left"/>
        </w:tabs>
        <w:numPr>
          <w:ilvl w:val="0"/>
          <w:numId w:val="14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Managers - Payments on behalf of the Company: </w:t>
      </w:r>
      <w:r>
        <w:rPr>
          <w:rFonts w:ascii="Times New Roman" w:cs="Times New Roman" w:eastAsia="Times New Roman" w:hAnsi="Times New Roman"/>
          <w:sz w:val="13"/>
          <w:szCs w:val="13"/>
          <w:color w:val="auto"/>
        </w:rPr>
        <w:t>This line item represents the amount outstanding for payments for operating and voyage expenses made by the Managers on behalf of the Company and its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subsidiaries.</w:t>
      </w:r>
    </w:p>
    <w:p>
      <w:pPr>
        <w:spacing w:after="0" w:line="110" w:lineRule="exact"/>
        <w:rPr>
          <w:rFonts w:ascii="Times New Roman" w:cs="Times New Roman" w:eastAsia="Times New Roman" w:hAnsi="Times New Roman"/>
          <w:sz w:val="13"/>
          <w:szCs w:val="13"/>
          <w:b w:val="1"/>
          <w:bCs w:val="1"/>
          <w:color w:val="auto"/>
        </w:rPr>
      </w:pPr>
    </w:p>
    <w:p>
      <w:pPr>
        <w:ind w:left="180" w:hanging="180"/>
        <w:spacing w:after="0"/>
        <w:tabs>
          <w:tab w:leader="none" w:pos="180" w:val="left"/>
        </w:tabs>
        <w:numPr>
          <w:ilvl w:val="0"/>
          <w:numId w:val="14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General and administrative expenses: </w:t>
      </w:r>
      <w:r>
        <w:rPr>
          <w:rFonts w:ascii="Times New Roman" w:cs="Times New Roman" w:eastAsia="Times New Roman" w:hAnsi="Times New Roman"/>
          <w:sz w:val="13"/>
          <w:szCs w:val="13"/>
          <w:color w:val="auto"/>
        </w:rPr>
        <w:t>This line item mainly includes fees relating to internal audit, investor relations and consultancy fees.</w:t>
      </w:r>
    </w:p>
    <w:p>
      <w:pPr>
        <w:spacing w:after="0" w:line="169" w:lineRule="exact"/>
        <w:rPr>
          <w:rFonts w:ascii="Times New Roman" w:cs="Times New Roman" w:eastAsia="Times New Roman" w:hAnsi="Times New Roman"/>
          <w:sz w:val="13"/>
          <w:szCs w:val="13"/>
          <w:b w:val="1"/>
          <w:bCs w:val="1"/>
          <w:color w:val="auto"/>
        </w:rPr>
      </w:pPr>
    </w:p>
    <w:p>
      <w:pPr>
        <w:ind w:left="180" w:hanging="180"/>
        <w:spacing w:after="0"/>
        <w:tabs>
          <w:tab w:leader="none" w:pos="180" w:val="left"/>
        </w:tabs>
        <w:numPr>
          <w:ilvl w:val="0"/>
          <w:numId w:val="14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Interest expense and finance cost: </w:t>
      </w:r>
      <w:r>
        <w:rPr>
          <w:rFonts w:ascii="Times New Roman" w:cs="Times New Roman" w:eastAsia="Times New Roman" w:hAnsi="Times New Roman"/>
          <w:sz w:val="13"/>
          <w:szCs w:val="13"/>
          <w:color w:val="auto"/>
        </w:rPr>
        <w:t>This line item reflects interest expense of the Umbrella Seller’s Credit (Note 8).</w:t>
      </w:r>
    </w:p>
    <w:p>
      <w:pPr>
        <w:spacing w:after="0" w:line="200" w:lineRule="exact"/>
        <w:rPr>
          <w:sz w:val="20"/>
          <w:szCs w:val="20"/>
          <w:color w:val="auto"/>
        </w:rPr>
      </w:pPr>
    </w:p>
    <w:p>
      <w:pPr>
        <w:spacing w:after="0" w:line="371" w:lineRule="exact"/>
        <w:rPr>
          <w:sz w:val="20"/>
          <w:szCs w:val="20"/>
          <w:color w:val="auto"/>
        </w:rPr>
      </w:pPr>
    </w:p>
    <w:p>
      <w:pPr>
        <w:jc w:val="right"/>
        <w:spacing w:after="0"/>
        <w:tabs>
          <w:tab w:leader="none" w:pos="920" w:val="left"/>
        </w:tabs>
        <w:rPr>
          <w:sz w:val="20"/>
          <w:szCs w:val="20"/>
          <w:color w:val="auto"/>
        </w:rPr>
      </w:pPr>
      <w:r>
        <w:rPr>
          <w:rFonts w:ascii="Times New Roman" w:cs="Times New Roman" w:eastAsia="Times New Roman" w:hAnsi="Times New Roman"/>
          <w:sz w:val="13"/>
          <w:szCs w:val="13"/>
          <w:color w:val="auto"/>
        </w:rPr>
        <w:t>F- 17</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67880"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3"/>
          <w:szCs w:val="13"/>
          <w:b w:val="1"/>
          <w:bCs w:val="1"/>
          <w:color w:val="auto"/>
        </w:rPr>
        <w:t>Capital Clean Energy Carriers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United States Dollars, unless otherwise specified)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6. Fixed Assets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A. </w:t>
      </w:r>
      <w:r>
        <w:rPr>
          <w:rFonts w:ascii="Times New Roman" w:cs="Times New Roman" w:eastAsia="Times New Roman" w:hAnsi="Times New Roman"/>
          <w:sz w:val="11"/>
          <w:szCs w:val="11"/>
          <w:b w:val="1"/>
          <w:bCs w:val="1"/>
          <w:u w:val="single" w:color="auto"/>
          <w:color w:val="auto"/>
        </w:rPr>
        <w:t>Vessels, net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40" w:type="dxa"/>
            <w:vAlign w:val="bottom"/>
          </w:tcPr>
          <w:p>
            <w:pPr>
              <w:spacing w:after="0"/>
              <w:rPr>
                <w:sz w:val="20"/>
                <w:szCs w:val="20"/>
                <w:color w:val="auto"/>
              </w:rPr>
            </w:pPr>
            <w:r>
              <w:rPr>
                <w:rFonts w:ascii="Times New Roman" w:cs="Times New Roman" w:eastAsia="Times New Roman" w:hAnsi="Times New Roman"/>
                <w:sz w:val="13"/>
                <w:szCs w:val="13"/>
                <w:color w:val="auto"/>
              </w:rPr>
              <w:t>The following table presents an analysis of vessels, net: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7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Vessel cost</w:t>
            </w: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Net book value</w:t>
            </w:r>
          </w:p>
        </w:tc>
        <w:tc>
          <w:tcPr>
            <w:tcW w:w="0" w:type="dxa"/>
            <w:vAlign w:val="bottom"/>
          </w:tcPr>
          <w:p>
            <w:pPr>
              <w:spacing w:after="0"/>
              <w:rPr>
                <w:sz w:val="1"/>
                <w:szCs w:val="1"/>
                <w:color w:val="auto"/>
              </w:rPr>
            </w:pPr>
          </w:p>
        </w:tc>
      </w:tr>
      <w:tr>
        <w:trPr>
          <w:trHeight w:val="95"/>
        </w:trPr>
        <w:tc>
          <w:tcPr>
            <w:tcW w:w="7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2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7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at January 1, 2024</w:t>
            </w:r>
          </w:p>
        </w:tc>
        <w:tc>
          <w:tcPr>
            <w:tcW w:w="36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1,910,692</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(85,791)</w:t>
            </w: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1,824,901</w:t>
            </w:r>
          </w:p>
        </w:tc>
        <w:tc>
          <w:tcPr>
            <w:tcW w:w="0" w:type="dxa"/>
            <w:vAlign w:val="bottom"/>
          </w:tcPr>
          <w:p>
            <w:pPr>
              <w:spacing w:after="0"/>
              <w:rPr>
                <w:sz w:val="1"/>
                <w:szCs w:val="1"/>
                <w:color w:val="auto"/>
              </w:rPr>
            </w:pPr>
          </w:p>
        </w:tc>
      </w:tr>
      <w:tr>
        <w:trPr>
          <w:trHeight w:val="150"/>
        </w:trPr>
        <w:tc>
          <w:tcPr>
            <w:tcW w:w="7340" w:type="dxa"/>
            <w:vAlign w:val="bottom"/>
          </w:tcPr>
          <w:p>
            <w:pPr>
              <w:spacing w:after="0"/>
              <w:rPr>
                <w:sz w:val="20"/>
                <w:szCs w:val="20"/>
                <w:color w:val="auto"/>
              </w:rPr>
            </w:pPr>
            <w:r>
              <w:rPr>
                <w:rFonts w:ascii="Times New Roman" w:cs="Times New Roman" w:eastAsia="Times New Roman" w:hAnsi="Times New Roman"/>
                <w:sz w:val="13"/>
                <w:szCs w:val="13"/>
                <w:color w:val="auto"/>
              </w:rPr>
              <w:t>Vessel acquisitions</w:t>
            </w:r>
          </w:p>
        </w:tc>
        <w:tc>
          <w:tcPr>
            <w:tcW w:w="3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1,150,782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1,150,782</w:t>
            </w:r>
          </w:p>
        </w:tc>
        <w:tc>
          <w:tcPr>
            <w:tcW w:w="0" w:type="dxa"/>
            <w:vAlign w:val="bottom"/>
          </w:tcPr>
          <w:p>
            <w:pPr>
              <w:spacing w:after="0"/>
              <w:rPr>
                <w:sz w:val="1"/>
                <w:szCs w:val="1"/>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Improvements</w:t>
            </w:r>
          </w:p>
        </w:tc>
        <w:tc>
          <w:tcPr>
            <w:tcW w:w="3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141</w:t>
            </w: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0" w:type="dxa"/>
            <w:vAlign w:val="bottom"/>
          </w:tcPr>
          <w:p>
            <w:pPr>
              <w:spacing w:after="0"/>
              <w:rPr>
                <w:sz w:val="1"/>
                <w:szCs w:val="1"/>
                <w:color w:val="auto"/>
              </w:rPr>
            </w:pPr>
          </w:p>
        </w:tc>
      </w:tr>
      <w:tr>
        <w:trPr>
          <w:trHeight w:val="160"/>
        </w:trPr>
        <w:tc>
          <w:tcPr>
            <w:tcW w:w="734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for the year</w:t>
            </w:r>
          </w:p>
        </w:tc>
        <w:tc>
          <w:tcPr>
            <w:tcW w:w="36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(76,454)</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(76,454)</w:t>
            </w:r>
          </w:p>
        </w:tc>
        <w:tc>
          <w:tcPr>
            <w:tcW w:w="0" w:type="dxa"/>
            <w:vAlign w:val="bottom"/>
          </w:tcPr>
          <w:p>
            <w:pPr>
              <w:spacing w:after="0"/>
              <w:rPr>
                <w:sz w:val="1"/>
                <w:szCs w:val="1"/>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at December 31, 2024</w:t>
            </w:r>
          </w:p>
        </w:tc>
        <w:tc>
          <w:tcPr>
            <w:tcW w:w="3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3,061,615</w:t>
            </w:r>
          </w:p>
        </w:tc>
        <w:tc>
          <w:tcPr>
            <w:tcW w:w="2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(162,245)</w:t>
            </w: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2,899,370</w:t>
            </w:r>
          </w:p>
        </w:tc>
        <w:tc>
          <w:tcPr>
            <w:tcW w:w="0" w:type="dxa"/>
            <w:vAlign w:val="bottom"/>
          </w:tcPr>
          <w:p>
            <w:pPr>
              <w:spacing w:after="0"/>
              <w:rPr>
                <w:sz w:val="1"/>
                <w:szCs w:val="1"/>
                <w:color w:val="auto"/>
              </w:rPr>
            </w:pPr>
          </w:p>
        </w:tc>
      </w:tr>
      <w:tr>
        <w:trPr>
          <w:trHeight w:val="150"/>
        </w:trPr>
        <w:tc>
          <w:tcPr>
            <w:tcW w:w="7340" w:type="dxa"/>
            <w:vAlign w:val="bottom"/>
          </w:tcPr>
          <w:p>
            <w:pPr>
              <w:spacing w:after="0"/>
              <w:rPr>
                <w:sz w:val="20"/>
                <w:szCs w:val="20"/>
                <w:color w:val="auto"/>
              </w:rPr>
            </w:pPr>
            <w:r>
              <w:rPr>
                <w:rFonts w:ascii="Times New Roman" w:cs="Times New Roman" w:eastAsia="Times New Roman" w:hAnsi="Times New Roman"/>
                <w:sz w:val="13"/>
                <w:szCs w:val="13"/>
                <w:color w:val="auto"/>
              </w:rPr>
              <w:t>Improvements</w:t>
            </w:r>
          </w:p>
        </w:tc>
        <w:tc>
          <w:tcPr>
            <w:tcW w:w="3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Depreciation for the year</w:t>
            </w:r>
          </w:p>
        </w:tc>
        <w:tc>
          <w:tcPr>
            <w:tcW w:w="3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(87,065)</w:t>
            </w: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(87,065)</w:t>
            </w:r>
          </w:p>
        </w:tc>
        <w:tc>
          <w:tcPr>
            <w:tcW w:w="0" w:type="dxa"/>
            <w:vAlign w:val="bottom"/>
          </w:tcPr>
          <w:p>
            <w:pPr>
              <w:spacing w:after="0"/>
              <w:rPr>
                <w:sz w:val="1"/>
                <w:szCs w:val="1"/>
                <w:color w:val="auto"/>
              </w:rPr>
            </w:pPr>
          </w:p>
        </w:tc>
      </w:tr>
      <w:tr>
        <w:trPr>
          <w:trHeight w:val="160"/>
        </w:trPr>
        <w:tc>
          <w:tcPr>
            <w:tcW w:w="73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at December 31, 2025</w:t>
            </w:r>
          </w:p>
        </w:tc>
        <w:tc>
          <w:tcPr>
            <w:tcW w:w="360" w:type="dxa"/>
            <w:vAlign w:val="bottom"/>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3,061,687</w:t>
            </w:r>
          </w:p>
        </w:tc>
        <w:tc>
          <w:tcPr>
            <w:tcW w:w="100" w:type="dxa"/>
            <w:vAlign w:val="bottom"/>
          </w:tcPr>
          <w:p>
            <w:pPr>
              <w:spacing w:after="0"/>
              <w:rPr>
                <w:sz w:val="13"/>
                <w:szCs w:val="13"/>
                <w:color w:val="auto"/>
              </w:rPr>
            </w:pPr>
          </w:p>
        </w:tc>
        <w:tc>
          <w:tcPr>
            <w:tcW w:w="280" w:type="dxa"/>
            <w:vAlign w:val="bottom"/>
          </w:tcPr>
          <w:p>
            <w:pPr>
              <w:jc w:val="right"/>
              <w:ind w:right="1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(249,310)</w:t>
            </w: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2,812,377</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Three vessels with an aggregate net book value of $736,674 as of December 31, 2025, have been provided as collateral under the terms of the Company’s credit facilities (Note 8). In addition, there are 10 vessels financed through sale and lease back agreements, for which the title of ownership is held by the relevant lender, with an aggregate net book value of $2,075,703 as of December 31, 2025 (Note 8).</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Vessel acquisitions for the year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0500" w:type="dxa"/>
            <w:vAlign w:val="bottom"/>
            <w:gridSpan w:val="11"/>
          </w:tcPr>
          <w:p>
            <w:pPr>
              <w:jc w:val="right"/>
              <w:ind w:right="273"/>
              <w:spacing w:after="0"/>
              <w:rPr>
                <w:sz w:val="20"/>
                <w:szCs w:val="20"/>
                <w:color w:val="auto"/>
              </w:rPr>
            </w:pPr>
            <w:r>
              <w:rPr>
                <w:rFonts w:ascii="Times New Roman" w:cs="Times New Roman" w:eastAsia="Times New Roman" w:hAnsi="Times New Roman"/>
                <w:sz w:val="13"/>
                <w:szCs w:val="13"/>
                <w:color w:val="auto"/>
              </w:rPr>
              <w:t>Pursuant to the Umbrella Agreement (Note 5), during the year ended December 31, 2024, the Company acquired from CMTC the shares of the vessel-owning companies of the below vessels:</w:t>
            </w:r>
          </w:p>
        </w:tc>
        <w:tc>
          <w:tcPr>
            <w:tcW w:w="780" w:type="dxa"/>
            <w:vAlign w:val="bottom"/>
          </w:tcPr>
          <w:p>
            <w:pPr>
              <w:spacing w:after="0"/>
              <w:rPr>
                <w:sz w:val="13"/>
                <w:szCs w:val="13"/>
                <w:color w:val="auto"/>
              </w:rPr>
            </w:pPr>
          </w:p>
        </w:tc>
      </w:tr>
      <w:tr>
        <w:trPr>
          <w:trHeight w:val="174"/>
        </w:trPr>
        <w:tc>
          <w:tcPr>
            <w:tcW w:w="158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w w:val="97"/>
              </w:rPr>
              <w:t>Vessel</w:t>
            </w:r>
          </w:p>
        </w:tc>
        <w:tc>
          <w:tcPr>
            <w:tcW w:w="140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Delivery Date</w:t>
            </w:r>
          </w:p>
        </w:tc>
        <w:tc>
          <w:tcPr>
            <w:tcW w:w="480" w:type="dxa"/>
            <w:vAlign w:val="bottom"/>
          </w:tcPr>
          <w:p>
            <w:pPr>
              <w:spacing w:after="0"/>
              <w:rPr>
                <w:sz w:val="15"/>
                <w:szCs w:val="15"/>
                <w:color w:val="auto"/>
              </w:rPr>
            </w:pPr>
          </w:p>
        </w:tc>
        <w:tc>
          <w:tcPr>
            <w:tcW w:w="120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Consideration</w:t>
            </w:r>
          </w:p>
        </w:tc>
        <w:tc>
          <w:tcPr>
            <w:tcW w:w="3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Debt (Note 8)</w:t>
            </w:r>
          </w:p>
        </w:tc>
        <w:tc>
          <w:tcPr>
            <w:tcW w:w="360" w:type="dxa"/>
            <w:vAlign w:val="bottom"/>
          </w:tcPr>
          <w:p>
            <w:pPr>
              <w:spacing w:after="0"/>
              <w:rPr>
                <w:sz w:val="15"/>
                <w:szCs w:val="15"/>
                <w:color w:val="auto"/>
              </w:rPr>
            </w:pPr>
          </w:p>
        </w:tc>
        <w:tc>
          <w:tcPr>
            <w:tcW w:w="22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Umbrella Seller’s Credit (Note 8)</w:t>
            </w:r>
          </w:p>
        </w:tc>
        <w:tc>
          <w:tcPr>
            <w:tcW w:w="500" w:type="dxa"/>
            <w:vAlign w:val="bottom"/>
          </w:tcPr>
          <w:p>
            <w:pPr>
              <w:spacing w:after="0"/>
              <w:rPr>
                <w:sz w:val="15"/>
                <w:szCs w:val="15"/>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Advances</w:t>
            </w: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Cash</w:t>
            </w:r>
          </w:p>
        </w:tc>
      </w:tr>
      <w:tr>
        <w:trPr>
          <w:trHeight w:val="160"/>
        </w:trPr>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LNG/C Axios II</w:t>
            </w:r>
          </w:p>
        </w:tc>
        <w:tc>
          <w:tcPr>
            <w:tcW w:w="14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3"/>
                <w:szCs w:val="13"/>
                <w:color w:val="auto"/>
              </w:rPr>
              <w:t>January 2, 2024</w:t>
            </w:r>
          </w:p>
        </w:tc>
        <w:tc>
          <w:tcPr>
            <w:tcW w:w="4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314,000</w:t>
            </w:r>
          </w:p>
        </w:tc>
        <w:tc>
          <w:tcPr>
            <w:tcW w:w="3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190,000</w:t>
            </w:r>
          </w:p>
        </w:tc>
        <w:tc>
          <w:tcPr>
            <w:tcW w:w="3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92,600</w:t>
            </w:r>
          </w:p>
        </w:tc>
        <w:tc>
          <w:tcPr>
            <w:tcW w:w="5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31,400</w:t>
            </w:r>
          </w:p>
        </w:tc>
        <w:tc>
          <w:tcPr>
            <w:tcW w:w="50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LNG/C Assos</w:t>
            </w:r>
          </w:p>
        </w:tc>
        <w:tc>
          <w:tcPr>
            <w:tcW w:w="1400" w:type="dxa"/>
            <w:vAlign w:val="bottom"/>
          </w:tcPr>
          <w:p>
            <w:pPr>
              <w:jc w:val="center"/>
              <w:ind w:left="33"/>
              <w:spacing w:after="0"/>
              <w:rPr>
                <w:sz w:val="20"/>
                <w:szCs w:val="20"/>
                <w:color w:val="auto"/>
              </w:rPr>
            </w:pPr>
            <w:r>
              <w:rPr>
                <w:rFonts w:ascii="Times New Roman" w:cs="Times New Roman" w:eastAsia="Times New Roman" w:hAnsi="Times New Roman"/>
                <w:sz w:val="13"/>
                <w:szCs w:val="13"/>
                <w:color w:val="auto"/>
              </w:rPr>
              <w:t>May 31, 2024</w:t>
            </w:r>
          </w:p>
        </w:tc>
        <w:tc>
          <w:tcPr>
            <w:tcW w:w="48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277,000</w:t>
            </w:r>
          </w:p>
        </w:tc>
        <w:tc>
          <w:tcPr>
            <w:tcW w:w="38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240,000</w:t>
            </w:r>
          </w:p>
        </w:tc>
        <w:tc>
          <w:tcPr>
            <w:tcW w:w="360" w:type="dxa"/>
            <w:vAlign w:val="bottom"/>
          </w:tcPr>
          <w:p>
            <w:pPr>
              <w:spacing w:after="0"/>
              <w:rPr>
                <w:sz w:val="13"/>
                <w:szCs w:val="13"/>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3"/>
                <w:szCs w:val="13"/>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27,700</w:t>
            </w:r>
          </w:p>
        </w:tc>
        <w:tc>
          <w:tcPr>
            <w:tcW w:w="5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9,300</w:t>
            </w:r>
          </w:p>
        </w:tc>
      </w:tr>
      <w:tr>
        <w:trPr>
          <w:trHeight w:val="160"/>
        </w:trPr>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LNG/C Aktoras</w:t>
            </w:r>
          </w:p>
        </w:tc>
        <w:tc>
          <w:tcPr>
            <w:tcW w:w="14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3"/>
                <w:szCs w:val="13"/>
                <w:color w:val="auto"/>
              </w:rPr>
              <w:t>June 5, 2024</w:t>
            </w:r>
          </w:p>
        </w:tc>
        <w:tc>
          <w:tcPr>
            <w:tcW w:w="48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311,000</w:t>
            </w:r>
          </w:p>
        </w:tc>
        <w:tc>
          <w:tcPr>
            <w:tcW w:w="380" w:type="dxa"/>
            <w:vAlign w:val="bottom"/>
            <w:shd w:val="clear" w:color="auto" w:fill="CCEEFF"/>
          </w:tcPr>
          <w:p>
            <w:pPr>
              <w:spacing w:after="0"/>
              <w:rPr>
                <w:sz w:val="13"/>
                <w:szCs w:val="13"/>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240,000</w:t>
            </w:r>
          </w:p>
        </w:tc>
        <w:tc>
          <w:tcPr>
            <w:tcW w:w="360" w:type="dxa"/>
            <w:vAlign w:val="bottom"/>
            <w:shd w:val="clear" w:color="auto" w:fill="CCEEFF"/>
          </w:tcPr>
          <w:p>
            <w:pPr>
              <w:spacing w:after="0"/>
              <w:rPr>
                <w:sz w:val="13"/>
                <w:szCs w:val="13"/>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39,900</w:t>
            </w:r>
          </w:p>
        </w:tc>
        <w:tc>
          <w:tcPr>
            <w:tcW w:w="5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31,100</w:t>
            </w:r>
          </w:p>
        </w:tc>
        <w:tc>
          <w:tcPr>
            <w:tcW w:w="5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LNG/C Apostolos</w:t>
            </w:r>
          </w:p>
        </w:tc>
        <w:tc>
          <w:tcPr>
            <w:tcW w:w="1400" w:type="dxa"/>
            <w:vAlign w:val="bottom"/>
            <w:tcBorders>
              <w:bottom w:val="single" w:sz="8" w:color="auto"/>
            </w:tcBorders>
          </w:tcPr>
          <w:p>
            <w:pPr>
              <w:jc w:val="center"/>
              <w:ind w:left="33"/>
              <w:spacing w:after="0"/>
              <w:rPr>
                <w:sz w:val="20"/>
                <w:szCs w:val="20"/>
                <w:color w:val="auto"/>
              </w:rPr>
            </w:pPr>
            <w:r>
              <w:rPr>
                <w:rFonts w:ascii="Times New Roman" w:cs="Times New Roman" w:eastAsia="Times New Roman" w:hAnsi="Times New Roman"/>
                <w:sz w:val="13"/>
                <w:szCs w:val="13"/>
                <w:color w:val="auto"/>
              </w:rPr>
              <w:t>June 28, 2024</w:t>
            </w:r>
          </w:p>
        </w:tc>
        <w:tc>
          <w:tcPr>
            <w:tcW w:w="4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302,000</w:t>
            </w:r>
          </w:p>
        </w:tc>
        <w:tc>
          <w:tcPr>
            <w:tcW w:w="3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192,000</w:t>
            </w:r>
          </w:p>
        </w:tc>
        <w:tc>
          <w:tcPr>
            <w:tcW w:w="36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2,264</w:t>
            </w:r>
          </w:p>
        </w:tc>
        <w:tc>
          <w:tcPr>
            <w:tcW w:w="5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30,200</w:t>
            </w:r>
          </w:p>
        </w:tc>
        <w:tc>
          <w:tcPr>
            <w:tcW w:w="5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77,536</w:t>
            </w:r>
          </w:p>
        </w:tc>
      </w:tr>
      <w:tr>
        <w:trPr>
          <w:trHeight w:val="150"/>
        </w:trPr>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4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1,204,000</w:t>
            </w:r>
          </w:p>
        </w:tc>
        <w:tc>
          <w:tcPr>
            <w:tcW w:w="3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862,000</w:t>
            </w:r>
          </w:p>
        </w:tc>
        <w:tc>
          <w:tcPr>
            <w:tcW w:w="3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w:t>
            </w:r>
          </w:p>
        </w:tc>
        <w:tc>
          <w:tcPr>
            <w:tcW w:w="2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134,764</w:t>
            </w:r>
          </w:p>
        </w:tc>
        <w:tc>
          <w:tcPr>
            <w:tcW w:w="5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120,400</w:t>
            </w:r>
          </w:p>
        </w:tc>
        <w:tc>
          <w:tcPr>
            <w:tcW w:w="50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86,836</w:t>
            </w:r>
          </w:p>
        </w:tc>
      </w:tr>
    </w:tbl>
    <w:p>
      <w:pPr>
        <w:spacing w:after="0" w:line="14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3"/>
          <w:szCs w:val="13"/>
          <w:color w:val="auto"/>
        </w:rPr>
        <w:t>The Company accounted for these acquisitions as acquisitions of assets since the fair value of the vessels and the time and bareboat charters attached are concentrated in a single identifiable asset. The Company considered whether any value should be assigned to the attached charter party agreements acquired and concluded that (i) for the LNG/C Axios II, the LNG/C Apostolos and the LNG/C Aktoras, the contracted daily charter rate was above the market rate on the acquisition date and therefore the total consideration was allocated to the vessel’s cost and the above market acquired charter (Note 7) and (ii) for the LNG/C Assos the contracted daily charter rate was below the market rate on the acquisition date and therefore the total consideration was allocated to the vessel’s cost and the below market acquired charter (Note 7). The Company allocated the cost of the vessels and the time and bareboat charters acquired on the basis of their relative fair values.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60" w:type="dxa"/>
            <w:vAlign w:val="bottom"/>
          </w:tcPr>
          <w:p>
            <w:pPr>
              <w:spacing w:after="0"/>
              <w:rPr>
                <w:sz w:val="20"/>
                <w:szCs w:val="20"/>
                <w:color w:val="auto"/>
              </w:rPr>
            </w:pPr>
            <w:r>
              <w:rPr>
                <w:rFonts w:ascii="Times New Roman" w:cs="Times New Roman" w:eastAsia="Times New Roman" w:hAnsi="Times New Roman"/>
                <w:sz w:val="13"/>
                <w:szCs w:val="13"/>
                <w:color w:val="auto"/>
              </w:rPr>
              <w:t>The total acquisition cost of $1,204,000 was recorded in the Company’s financial statements as follows:</w:t>
            </w:r>
          </w:p>
        </w:tc>
        <w:tc>
          <w:tcPr>
            <w:tcW w:w="26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0"/>
        </w:trPr>
        <w:tc>
          <w:tcPr>
            <w:tcW w:w="766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3"/>
                <w:szCs w:val="13"/>
                <w:color w:val="auto"/>
              </w:rPr>
              <w:t>Vessels, net</w:t>
            </w:r>
          </w:p>
        </w:tc>
        <w:tc>
          <w:tcPr>
            <w:tcW w:w="2620" w:type="dxa"/>
            <w:vAlign w:val="bottom"/>
            <w:shd w:val="clear" w:color="auto" w:fill="CCECFF"/>
          </w:tcPr>
          <w:p>
            <w:pPr>
              <w:jc w:val="right"/>
              <w:ind w:right="353"/>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1,150,782</w:t>
            </w:r>
          </w:p>
        </w:tc>
      </w:tr>
      <w:tr>
        <w:trPr>
          <w:trHeight w:val="160"/>
        </w:trPr>
        <w:tc>
          <w:tcPr>
            <w:tcW w:w="76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Above market acquired charters (Note 7)</w:t>
            </w:r>
          </w:p>
        </w:tc>
        <w:tc>
          <w:tcPr>
            <w:tcW w:w="26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58,254</w:t>
            </w:r>
          </w:p>
        </w:tc>
      </w:tr>
      <w:tr>
        <w:trPr>
          <w:trHeight w:val="160"/>
        </w:trPr>
        <w:tc>
          <w:tcPr>
            <w:tcW w:w="7660" w:type="dxa"/>
            <w:vAlign w:val="bottom"/>
            <w:tcBorders>
              <w:bottom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3"/>
                <w:szCs w:val="13"/>
                <w:color w:val="auto"/>
              </w:rPr>
              <w:t>Below market acquired charters (Note 7)</w:t>
            </w:r>
          </w:p>
        </w:tc>
        <w:tc>
          <w:tcPr>
            <w:tcW w:w="262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(5,036)</w:t>
            </w:r>
          </w:p>
        </w:tc>
      </w:tr>
      <w:tr>
        <w:trPr>
          <w:trHeight w:val="150"/>
        </w:trPr>
        <w:tc>
          <w:tcPr>
            <w:tcW w:w="7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6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1,204,000</w:t>
            </w: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Improvements for the years 2025 and 2024</w:t>
      </w:r>
    </w:p>
    <w:p>
      <w:pPr>
        <w:spacing w:after="0" w:line="17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During the years ended December 31, 2025 and 2024, certain of the Company’s vessels underwent improvements. The costs of these improvements amounted to $72 and $141 respectively and were capitalized as part of the vessels’ cost.</w:t>
      </w:r>
    </w:p>
    <w:p>
      <w:pPr>
        <w:spacing w:after="0" w:line="354" w:lineRule="exact"/>
        <w:rPr>
          <w:sz w:val="20"/>
          <w:szCs w:val="20"/>
          <w:color w:val="auto"/>
        </w:rPr>
      </w:pPr>
    </w:p>
    <w:p>
      <w:pPr>
        <w:jc w:val="right"/>
        <w:spacing w:after="0"/>
        <w:tabs>
          <w:tab w:leader="none" w:pos="920" w:val="left"/>
        </w:tabs>
        <w:rPr>
          <w:sz w:val="20"/>
          <w:szCs w:val="20"/>
          <w:color w:val="auto"/>
        </w:rPr>
      </w:pPr>
      <w:r>
        <w:rPr>
          <w:rFonts w:ascii="Times New Roman" w:cs="Times New Roman" w:eastAsia="Times New Roman" w:hAnsi="Times New Roman"/>
          <w:sz w:val="13"/>
          <w:szCs w:val="13"/>
          <w:color w:val="auto"/>
        </w:rPr>
        <w:t>F- 18</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3"/>
          <w:szCs w:val="13"/>
          <w:b w:val="1"/>
          <w:bCs w:val="1"/>
          <w:color w:val="auto"/>
        </w:rPr>
        <w:t>Capital Clean Energy Carriers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United States Dollars, unless otherwise specified)</w:t>
      </w:r>
    </w:p>
    <w:p>
      <w:pPr>
        <w:spacing w:after="0" w:line="360" w:lineRule="exact"/>
        <w:rPr>
          <w:sz w:val="20"/>
          <w:szCs w:val="20"/>
          <w:color w:val="auto"/>
        </w:rPr>
      </w:pPr>
    </w:p>
    <w:p>
      <w:pPr>
        <w:ind w:right="9620"/>
        <w:spacing w:after="0" w:line="456" w:lineRule="auto"/>
        <w:tabs>
          <w:tab w:leader="none" w:pos="133" w:val="left"/>
        </w:tabs>
        <w:numPr>
          <w:ilvl w:val="0"/>
          <w:numId w:val="14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Fixed Assets - Continued B. </w:t>
      </w:r>
      <w:r>
        <w:rPr>
          <w:rFonts w:ascii="Times New Roman" w:cs="Times New Roman" w:eastAsia="Times New Roman" w:hAnsi="Times New Roman"/>
          <w:sz w:val="13"/>
          <w:szCs w:val="13"/>
          <w:b w:val="1"/>
          <w:bCs w:val="1"/>
          <w:u w:val="single" w:color="auto"/>
          <w:color w:val="auto"/>
        </w:rPr>
        <w:t>Vessels under construction</w:t>
      </w:r>
    </w:p>
    <w:p>
      <w:pPr>
        <w:spacing w:after="0" w:line="1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color w:val="auto"/>
        </w:rPr>
        <w:t>On December 31, 2025, the Company entered into three separate ship building contracts with HD Hyundai Samho Co., Ltd for the construction of three additional latest technology LNG/Cs vessels, presented below:</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Hull Number/Vessel name</w:t>
            </w:r>
          </w:p>
        </w:tc>
        <w:tc>
          <w:tcPr>
            <w:tcW w:w="2780" w:type="dxa"/>
            <w:vAlign w:val="bottom"/>
            <w:tcBorders>
              <w:bottom w:val="single" w:sz="8" w:color="auto"/>
            </w:tcBorders>
          </w:tcPr>
          <w:p>
            <w:pPr>
              <w:jc w:val="center"/>
              <w:ind w:left="1473"/>
              <w:spacing w:after="0"/>
              <w:rPr>
                <w:sz w:val="20"/>
                <w:szCs w:val="20"/>
                <w:color w:val="auto"/>
              </w:rPr>
            </w:pPr>
            <w:r>
              <w:rPr>
                <w:rFonts w:ascii="Times New Roman" w:cs="Times New Roman" w:eastAsia="Times New Roman" w:hAnsi="Times New Roman"/>
                <w:sz w:val="13"/>
                <w:szCs w:val="13"/>
                <w:b w:val="1"/>
                <w:bCs w:val="1"/>
                <w:color w:val="auto"/>
              </w:rPr>
              <w:t>CBM</w:t>
            </w:r>
          </w:p>
        </w:tc>
        <w:tc>
          <w:tcPr>
            <w:tcW w:w="8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3"/>
                <w:szCs w:val="13"/>
                <w:b w:val="1"/>
                <w:bCs w:val="1"/>
                <w:color w:val="auto"/>
              </w:rPr>
              <w:t>Contract price</w:t>
            </w: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Expected delivery</w:t>
            </w:r>
          </w:p>
        </w:tc>
      </w:tr>
      <w:tr>
        <w:trPr>
          <w:trHeight w:val="150"/>
        </w:trPr>
        <w:tc>
          <w:tcPr>
            <w:tcW w:w="394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3"/>
                <w:szCs w:val="13"/>
                <w:color w:val="auto"/>
              </w:rPr>
              <w:t>LNG/C Amfialos (Hull No.8327)</w:t>
            </w:r>
          </w:p>
        </w:tc>
        <w:tc>
          <w:tcPr>
            <w:tcW w:w="2780" w:type="dxa"/>
            <w:vAlign w:val="bottom"/>
            <w:shd w:val="clear" w:color="auto" w:fill="CCECFF"/>
          </w:tcPr>
          <w:p>
            <w:pPr>
              <w:jc w:val="center"/>
              <w:ind w:left="1473"/>
              <w:spacing w:after="0"/>
              <w:rPr>
                <w:sz w:val="20"/>
                <w:szCs w:val="20"/>
                <w:color w:val="auto"/>
              </w:rPr>
            </w:pPr>
            <w:r>
              <w:rPr>
                <w:rFonts w:ascii="Times New Roman" w:cs="Times New Roman" w:eastAsia="Times New Roman" w:hAnsi="Times New Roman"/>
                <w:sz w:val="13"/>
                <w:szCs w:val="13"/>
                <w:color w:val="auto"/>
              </w:rPr>
              <w:t>174,000</w:t>
            </w:r>
          </w:p>
        </w:tc>
        <w:tc>
          <w:tcPr>
            <w:tcW w:w="800" w:type="dxa"/>
            <w:vAlign w:val="bottom"/>
            <w:shd w:val="clear" w:color="auto" w:fill="CCECFF"/>
          </w:tcPr>
          <w:p>
            <w:pPr>
              <w:jc w:val="right"/>
              <w:ind w:right="253"/>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CECFF"/>
          </w:tcPr>
          <w:p>
            <w:pPr>
              <w:jc w:val="center"/>
              <w:ind w:right="173"/>
              <w:spacing w:after="0"/>
              <w:rPr>
                <w:sz w:val="20"/>
                <w:szCs w:val="20"/>
                <w:color w:val="auto"/>
              </w:rPr>
            </w:pPr>
            <w:r>
              <w:rPr>
                <w:rFonts w:ascii="Times New Roman" w:cs="Times New Roman" w:eastAsia="Times New Roman" w:hAnsi="Times New Roman"/>
                <w:sz w:val="13"/>
                <w:szCs w:val="13"/>
                <w:color w:val="auto"/>
                <w:w w:val="99"/>
              </w:rPr>
              <w:t>248,000</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August 2028</w:t>
            </w:r>
          </w:p>
        </w:tc>
      </w:tr>
      <w:tr>
        <w:trPr>
          <w:trHeight w:val="160"/>
        </w:trPr>
        <w:tc>
          <w:tcPr>
            <w:tcW w:w="39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LNG/C Amfilochos (Hull No.8328)</w:t>
            </w:r>
          </w:p>
        </w:tc>
        <w:tc>
          <w:tcPr>
            <w:tcW w:w="2780" w:type="dxa"/>
            <w:vAlign w:val="bottom"/>
          </w:tcPr>
          <w:p>
            <w:pPr>
              <w:jc w:val="center"/>
              <w:ind w:left="1473"/>
              <w:spacing w:after="0"/>
              <w:rPr>
                <w:sz w:val="20"/>
                <w:szCs w:val="20"/>
                <w:color w:val="auto"/>
              </w:rPr>
            </w:pPr>
            <w:r>
              <w:rPr>
                <w:rFonts w:ascii="Times New Roman" w:cs="Times New Roman" w:eastAsia="Times New Roman" w:hAnsi="Times New Roman"/>
                <w:sz w:val="13"/>
                <w:szCs w:val="13"/>
                <w:color w:val="auto"/>
              </w:rPr>
              <w:t>174,000</w:t>
            </w:r>
          </w:p>
        </w:tc>
        <w:tc>
          <w:tcPr>
            <w:tcW w:w="800" w:type="dxa"/>
            <w:vAlign w:val="bottom"/>
          </w:tcPr>
          <w:p>
            <w:pPr>
              <w:spacing w:after="0"/>
              <w:rPr>
                <w:sz w:val="13"/>
                <w:szCs w:val="13"/>
                <w:color w:val="auto"/>
              </w:rPr>
            </w:pPr>
          </w:p>
        </w:tc>
        <w:tc>
          <w:tcPr>
            <w:tcW w:w="1700" w:type="dxa"/>
            <w:vAlign w:val="bottom"/>
          </w:tcPr>
          <w:p>
            <w:pPr>
              <w:jc w:val="center"/>
              <w:ind w:right="173"/>
              <w:spacing w:after="0"/>
              <w:rPr>
                <w:sz w:val="20"/>
                <w:szCs w:val="20"/>
                <w:color w:val="auto"/>
              </w:rPr>
            </w:pPr>
            <w:r>
              <w:rPr>
                <w:rFonts w:ascii="Times New Roman" w:cs="Times New Roman" w:eastAsia="Times New Roman" w:hAnsi="Times New Roman"/>
                <w:sz w:val="13"/>
                <w:szCs w:val="13"/>
                <w:color w:val="auto"/>
                <w:w w:val="99"/>
              </w:rPr>
              <w:t>248,000</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January 2029</w:t>
            </w:r>
          </w:p>
        </w:tc>
      </w:tr>
      <w:tr>
        <w:trPr>
          <w:trHeight w:val="160"/>
        </w:trPr>
        <w:tc>
          <w:tcPr>
            <w:tcW w:w="394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3"/>
                <w:szCs w:val="13"/>
                <w:color w:val="auto"/>
              </w:rPr>
              <w:t>LNG/C Amissos (Hull No.8329)</w:t>
            </w:r>
          </w:p>
        </w:tc>
        <w:tc>
          <w:tcPr>
            <w:tcW w:w="2780" w:type="dxa"/>
            <w:vAlign w:val="bottom"/>
            <w:shd w:val="clear" w:color="auto" w:fill="CCECFF"/>
          </w:tcPr>
          <w:p>
            <w:pPr>
              <w:jc w:val="center"/>
              <w:ind w:left="1473"/>
              <w:spacing w:after="0"/>
              <w:rPr>
                <w:sz w:val="20"/>
                <w:szCs w:val="20"/>
                <w:color w:val="auto"/>
              </w:rPr>
            </w:pPr>
            <w:r>
              <w:rPr>
                <w:rFonts w:ascii="Times New Roman" w:cs="Times New Roman" w:eastAsia="Times New Roman" w:hAnsi="Times New Roman"/>
                <w:sz w:val="13"/>
                <w:szCs w:val="13"/>
                <w:color w:val="auto"/>
              </w:rPr>
              <w:t>174,000</w:t>
            </w:r>
          </w:p>
        </w:tc>
        <w:tc>
          <w:tcPr>
            <w:tcW w:w="800" w:type="dxa"/>
            <w:vAlign w:val="bottom"/>
            <w:shd w:val="clear" w:color="auto" w:fill="CCECFF"/>
          </w:tcPr>
          <w:p>
            <w:pPr>
              <w:spacing w:after="0"/>
              <w:rPr>
                <w:sz w:val="13"/>
                <w:szCs w:val="13"/>
                <w:color w:val="auto"/>
              </w:rPr>
            </w:pPr>
          </w:p>
        </w:tc>
        <w:tc>
          <w:tcPr>
            <w:tcW w:w="1700" w:type="dxa"/>
            <w:vAlign w:val="bottom"/>
            <w:shd w:val="clear" w:color="auto" w:fill="CCECFF"/>
          </w:tcPr>
          <w:p>
            <w:pPr>
              <w:jc w:val="center"/>
              <w:ind w:right="173"/>
              <w:spacing w:after="0"/>
              <w:rPr>
                <w:sz w:val="20"/>
                <w:szCs w:val="20"/>
                <w:color w:val="auto"/>
              </w:rPr>
            </w:pPr>
            <w:r>
              <w:rPr>
                <w:rFonts w:ascii="Times New Roman" w:cs="Times New Roman" w:eastAsia="Times New Roman" w:hAnsi="Times New Roman"/>
                <w:sz w:val="13"/>
                <w:szCs w:val="13"/>
                <w:color w:val="auto"/>
                <w:w w:val="99"/>
              </w:rPr>
              <w:t>248,000</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February 2029</w:t>
            </w:r>
          </w:p>
        </w:tc>
      </w:tr>
    </w:tbl>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80" w:type="dxa"/>
            <w:vAlign w:val="bottom"/>
          </w:tcPr>
          <w:p>
            <w:pPr>
              <w:spacing w:after="0"/>
              <w:rPr>
                <w:sz w:val="20"/>
                <w:szCs w:val="20"/>
                <w:color w:val="auto"/>
              </w:rPr>
            </w:pPr>
            <w:r>
              <w:rPr>
                <w:rFonts w:ascii="Times New Roman" w:cs="Times New Roman" w:eastAsia="Times New Roman" w:hAnsi="Times New Roman"/>
                <w:sz w:val="13"/>
                <w:szCs w:val="13"/>
                <w:color w:val="auto"/>
              </w:rPr>
              <w:t>The following table presents an analysis of vessels under construction:</w:t>
            </w:r>
          </w:p>
        </w:tc>
        <w:tc>
          <w:tcPr>
            <w:tcW w:w="3280" w:type="dxa"/>
            <w:vAlign w:val="bottom"/>
          </w:tcPr>
          <w:p>
            <w:pPr>
              <w:spacing w:after="0"/>
              <w:rPr>
                <w:sz w:val="15"/>
                <w:szCs w:val="15"/>
                <w:color w:val="auto"/>
              </w:rPr>
            </w:pPr>
          </w:p>
        </w:tc>
        <w:tc>
          <w:tcPr>
            <w:tcW w:w="112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Vessels under</w:t>
            </w:r>
          </w:p>
        </w:tc>
        <w:tc>
          <w:tcPr>
            <w:tcW w:w="0" w:type="dxa"/>
            <w:vAlign w:val="bottom"/>
          </w:tcPr>
          <w:p>
            <w:pPr>
              <w:spacing w:after="0"/>
              <w:rPr>
                <w:sz w:val="1"/>
                <w:szCs w:val="1"/>
                <w:color w:val="auto"/>
              </w:rPr>
            </w:pPr>
          </w:p>
        </w:tc>
      </w:tr>
      <w:tr>
        <w:trPr>
          <w:trHeight w:val="145"/>
        </w:trPr>
        <w:tc>
          <w:tcPr>
            <w:tcW w:w="68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880" w:type="dxa"/>
            <w:vAlign w:val="bottom"/>
            <w:tcBorders>
              <w:bottom w:val="single" w:sz="8" w:color="CCEEFF"/>
            </w:tcBorders>
          </w:tcPr>
          <w:p>
            <w:pPr>
              <w:spacing w:after="0"/>
              <w:rPr>
                <w:sz w:val="15"/>
                <w:szCs w:val="15"/>
                <w:color w:val="auto"/>
              </w:rPr>
            </w:pPr>
          </w:p>
        </w:tc>
        <w:tc>
          <w:tcPr>
            <w:tcW w:w="32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construction cost</w:t>
            </w:r>
          </w:p>
        </w:tc>
        <w:tc>
          <w:tcPr>
            <w:tcW w:w="0" w:type="dxa"/>
            <w:vAlign w:val="bottom"/>
          </w:tcPr>
          <w:p>
            <w:pPr>
              <w:spacing w:after="0"/>
              <w:rPr>
                <w:sz w:val="1"/>
                <w:szCs w:val="1"/>
                <w:color w:val="auto"/>
              </w:rPr>
            </w:pPr>
          </w:p>
        </w:tc>
      </w:tr>
      <w:tr>
        <w:trPr>
          <w:trHeight w:val="150"/>
        </w:trPr>
        <w:tc>
          <w:tcPr>
            <w:tcW w:w="6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Balance as at January 1, 2024</w:t>
            </w:r>
          </w:p>
        </w:tc>
        <w:tc>
          <w:tcPr>
            <w:tcW w:w="32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140,369</w:t>
            </w:r>
          </w:p>
        </w:tc>
        <w:tc>
          <w:tcPr>
            <w:tcW w:w="0" w:type="dxa"/>
            <w:vAlign w:val="bottom"/>
          </w:tcPr>
          <w:p>
            <w:pPr>
              <w:spacing w:after="0"/>
              <w:rPr>
                <w:sz w:val="1"/>
                <w:szCs w:val="1"/>
                <w:color w:val="auto"/>
              </w:rPr>
            </w:pPr>
          </w:p>
        </w:tc>
      </w:tr>
      <w:tr>
        <w:trPr>
          <w:trHeight w:val="150"/>
        </w:trPr>
        <w:tc>
          <w:tcPr>
            <w:tcW w:w="68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Advances and initial expenses for vessels under construction</w:t>
            </w:r>
          </w:p>
        </w:tc>
        <w:tc>
          <w:tcPr>
            <w:tcW w:w="32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249,921</w:t>
            </w:r>
          </w:p>
        </w:tc>
        <w:tc>
          <w:tcPr>
            <w:tcW w:w="0" w:type="dxa"/>
            <w:vAlign w:val="bottom"/>
          </w:tcPr>
          <w:p>
            <w:pPr>
              <w:spacing w:after="0"/>
              <w:rPr>
                <w:sz w:val="1"/>
                <w:szCs w:val="1"/>
                <w:color w:val="auto"/>
              </w:rPr>
            </w:pPr>
          </w:p>
        </w:tc>
      </w:tr>
      <w:tr>
        <w:trPr>
          <w:trHeight w:val="150"/>
        </w:trPr>
        <w:tc>
          <w:tcPr>
            <w:tcW w:w="6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Balance as at December 31, 2024</w:t>
            </w:r>
          </w:p>
        </w:tc>
        <w:tc>
          <w:tcPr>
            <w:tcW w:w="32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390,290</w:t>
            </w:r>
          </w:p>
        </w:tc>
        <w:tc>
          <w:tcPr>
            <w:tcW w:w="0" w:type="dxa"/>
            <w:vAlign w:val="bottom"/>
          </w:tcPr>
          <w:p>
            <w:pPr>
              <w:spacing w:after="0"/>
              <w:rPr>
                <w:sz w:val="1"/>
                <w:szCs w:val="1"/>
                <w:color w:val="auto"/>
              </w:rPr>
            </w:pPr>
          </w:p>
        </w:tc>
      </w:tr>
      <w:tr>
        <w:trPr>
          <w:trHeight w:val="150"/>
        </w:trPr>
        <w:tc>
          <w:tcPr>
            <w:tcW w:w="68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Advances and initial expenses for vessels under construction</w:t>
            </w:r>
          </w:p>
        </w:tc>
        <w:tc>
          <w:tcPr>
            <w:tcW w:w="32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314,111</w:t>
            </w:r>
          </w:p>
        </w:tc>
        <w:tc>
          <w:tcPr>
            <w:tcW w:w="0" w:type="dxa"/>
            <w:vAlign w:val="bottom"/>
          </w:tcPr>
          <w:p>
            <w:pPr>
              <w:spacing w:after="0"/>
              <w:rPr>
                <w:sz w:val="1"/>
                <w:szCs w:val="1"/>
                <w:color w:val="auto"/>
              </w:rPr>
            </w:pPr>
          </w:p>
        </w:tc>
      </w:tr>
      <w:tr>
        <w:trPr>
          <w:trHeight w:val="150"/>
        </w:trPr>
        <w:tc>
          <w:tcPr>
            <w:tcW w:w="6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Balance as at December 31, 2025</w:t>
            </w:r>
          </w:p>
        </w:tc>
        <w:tc>
          <w:tcPr>
            <w:tcW w:w="32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704,401</w:t>
            </w:r>
          </w:p>
        </w:tc>
        <w:tc>
          <w:tcPr>
            <w:tcW w:w="0" w:type="dxa"/>
            <w:vAlign w:val="bottom"/>
          </w:tcPr>
          <w:p>
            <w:pPr>
              <w:spacing w:after="0"/>
              <w:rPr>
                <w:sz w:val="1"/>
                <w:szCs w:val="1"/>
                <w:color w:val="auto"/>
              </w:rPr>
            </w:pPr>
          </w:p>
        </w:tc>
      </w:tr>
    </w:tbl>
    <w:p>
      <w:pPr>
        <w:spacing w:after="0" w:line="3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During the years ended December 31, 2025 and 2024, the Company paid advances of $283,409 and $229,350 in relation to the vessels under construction, respectively. During the years ended December 31, 2025 and 2024, the Company recognized initial expenses of $30,702 and $20,571 as part of vessels under construction cost. Capitalized interest for the years ended December 31, 2025 and 2024, included in initial expenses, amounted to $24,972 and $19,077, respectively (Notes 2(m), 8).</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 Advances for vessels under construction-related party</w:t>
            </w:r>
          </w:p>
        </w:tc>
        <w:tc>
          <w:tcPr>
            <w:tcW w:w="2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76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The following table presents an analysis of advances for vessels under construction-related party:</w:t>
            </w:r>
          </w:p>
        </w:tc>
        <w:tc>
          <w:tcPr>
            <w:tcW w:w="2560" w:type="dxa"/>
            <w:vAlign w:val="bottom"/>
          </w:tcPr>
          <w:p>
            <w:pPr>
              <w:spacing w:after="0"/>
              <w:rPr>
                <w:sz w:val="24"/>
                <w:szCs w:val="24"/>
                <w:color w:val="auto"/>
              </w:rPr>
            </w:pPr>
          </w:p>
        </w:tc>
        <w:tc>
          <w:tcPr>
            <w:tcW w:w="112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Advances for</w:t>
            </w:r>
          </w:p>
        </w:tc>
        <w:tc>
          <w:tcPr>
            <w:tcW w:w="0" w:type="dxa"/>
            <w:vAlign w:val="bottom"/>
          </w:tcPr>
          <w:p>
            <w:pPr>
              <w:spacing w:after="0"/>
              <w:rPr>
                <w:sz w:val="1"/>
                <w:szCs w:val="1"/>
                <w:color w:val="auto"/>
              </w:rPr>
            </w:pPr>
          </w:p>
        </w:tc>
      </w:tr>
      <w:tr>
        <w:trPr>
          <w:trHeight w:val="145"/>
        </w:trPr>
        <w:tc>
          <w:tcPr>
            <w:tcW w:w="1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vessels under</w:t>
            </w:r>
          </w:p>
        </w:tc>
        <w:tc>
          <w:tcPr>
            <w:tcW w:w="0" w:type="dxa"/>
            <w:vAlign w:val="bottom"/>
          </w:tcPr>
          <w:p>
            <w:pPr>
              <w:spacing w:after="0"/>
              <w:rPr>
                <w:sz w:val="1"/>
                <w:szCs w:val="1"/>
                <w:color w:val="auto"/>
              </w:rPr>
            </w:pPr>
          </w:p>
        </w:tc>
      </w:tr>
      <w:tr>
        <w:trPr>
          <w:trHeight w:val="160"/>
        </w:trPr>
        <w:tc>
          <w:tcPr>
            <w:tcW w:w="1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construction-</w:t>
            </w:r>
          </w:p>
        </w:tc>
        <w:tc>
          <w:tcPr>
            <w:tcW w:w="0" w:type="dxa"/>
            <w:vAlign w:val="bottom"/>
          </w:tcPr>
          <w:p>
            <w:pPr>
              <w:spacing w:after="0"/>
              <w:rPr>
                <w:sz w:val="1"/>
                <w:szCs w:val="1"/>
                <w:color w:val="auto"/>
              </w:rPr>
            </w:pPr>
          </w:p>
        </w:tc>
      </w:tr>
      <w:tr>
        <w:trPr>
          <w:trHeight w:val="174"/>
        </w:trPr>
        <w:tc>
          <w:tcPr>
            <w:tcW w:w="160" w:type="dxa"/>
            <w:vAlign w:val="bottom"/>
            <w:tcBorders>
              <w:bottom w:val="single" w:sz="8" w:color="CCEEFF"/>
            </w:tcBorders>
          </w:tcPr>
          <w:p>
            <w:pPr>
              <w:spacing w:after="0"/>
              <w:rPr>
                <w:sz w:val="15"/>
                <w:szCs w:val="15"/>
                <w:color w:val="auto"/>
              </w:rPr>
            </w:pPr>
          </w:p>
        </w:tc>
        <w:tc>
          <w:tcPr>
            <w:tcW w:w="3060" w:type="dxa"/>
            <w:vAlign w:val="bottom"/>
            <w:tcBorders>
              <w:bottom w:val="single" w:sz="8" w:color="CCEEFF"/>
            </w:tcBorders>
          </w:tcPr>
          <w:p>
            <w:pPr>
              <w:spacing w:after="0"/>
              <w:rPr>
                <w:sz w:val="15"/>
                <w:szCs w:val="15"/>
                <w:color w:val="auto"/>
              </w:rPr>
            </w:pPr>
          </w:p>
        </w:tc>
        <w:tc>
          <w:tcPr>
            <w:tcW w:w="4380" w:type="dxa"/>
            <w:vAlign w:val="bottom"/>
            <w:tcBorders>
              <w:bottom w:val="single" w:sz="8" w:color="CCEEFF"/>
            </w:tcBorders>
          </w:tcPr>
          <w:p>
            <w:pPr>
              <w:spacing w:after="0"/>
              <w:rPr>
                <w:sz w:val="15"/>
                <w:szCs w:val="15"/>
                <w:color w:val="auto"/>
              </w:rPr>
            </w:pPr>
          </w:p>
        </w:tc>
        <w:tc>
          <w:tcPr>
            <w:tcW w:w="256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related party</w:t>
            </w:r>
          </w:p>
        </w:tc>
        <w:tc>
          <w:tcPr>
            <w:tcW w:w="0" w:type="dxa"/>
            <w:vAlign w:val="bottom"/>
          </w:tcPr>
          <w:p>
            <w:pPr>
              <w:spacing w:after="0"/>
              <w:rPr>
                <w:sz w:val="1"/>
                <w:szCs w:val="1"/>
                <w:color w:val="auto"/>
              </w:rPr>
            </w:pPr>
          </w:p>
        </w:tc>
      </w:tr>
      <w:tr>
        <w:trPr>
          <w:trHeight w:val="150"/>
        </w:trPr>
        <w:tc>
          <w:tcPr>
            <w:tcW w:w="7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Balance as at January 1, 2024</w:t>
            </w:r>
          </w:p>
        </w:tc>
        <w:tc>
          <w:tcPr>
            <w:tcW w:w="25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174,400</w:t>
            </w:r>
          </w:p>
        </w:tc>
        <w:tc>
          <w:tcPr>
            <w:tcW w:w="0" w:type="dxa"/>
            <w:vAlign w:val="bottom"/>
          </w:tcPr>
          <w:p>
            <w:pPr>
              <w:spacing w:after="0"/>
              <w:rPr>
                <w:sz w:val="1"/>
                <w:szCs w:val="1"/>
                <w:color w:val="auto"/>
              </w:rPr>
            </w:pPr>
          </w:p>
        </w:tc>
      </w:tr>
      <w:tr>
        <w:trPr>
          <w:trHeight w:val="150"/>
        </w:trPr>
        <w:tc>
          <w:tcPr>
            <w:tcW w:w="760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3"/>
                <w:szCs w:val="13"/>
                <w:color w:val="auto"/>
              </w:rPr>
              <w:t>Transfer to vessels, net</w:t>
            </w:r>
          </w:p>
        </w:tc>
        <w:tc>
          <w:tcPr>
            <w:tcW w:w="256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(120,400)</w:t>
            </w:r>
          </w:p>
        </w:tc>
        <w:tc>
          <w:tcPr>
            <w:tcW w:w="0" w:type="dxa"/>
            <w:vAlign w:val="bottom"/>
          </w:tcPr>
          <w:p>
            <w:pPr>
              <w:spacing w:after="0"/>
              <w:rPr>
                <w:sz w:val="1"/>
                <w:szCs w:val="1"/>
                <w:color w:val="auto"/>
              </w:rPr>
            </w:pPr>
          </w:p>
        </w:tc>
      </w:tr>
      <w:tr>
        <w:trPr>
          <w:trHeight w:val="150"/>
        </w:trPr>
        <w:tc>
          <w:tcPr>
            <w:tcW w:w="7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Balance as at December 31, 2024</w:t>
            </w:r>
          </w:p>
        </w:tc>
        <w:tc>
          <w:tcPr>
            <w:tcW w:w="25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54,000</w:t>
            </w:r>
          </w:p>
        </w:tc>
        <w:tc>
          <w:tcPr>
            <w:tcW w:w="0" w:type="dxa"/>
            <w:vAlign w:val="bottom"/>
          </w:tcPr>
          <w:p>
            <w:pPr>
              <w:spacing w:after="0"/>
              <w:rPr>
                <w:sz w:val="1"/>
                <w:szCs w:val="1"/>
                <w:color w:val="auto"/>
              </w:rPr>
            </w:pPr>
          </w:p>
        </w:tc>
      </w:tr>
      <w:tr>
        <w:trPr>
          <w:trHeight w:val="150"/>
        </w:trPr>
        <w:tc>
          <w:tcPr>
            <w:tcW w:w="760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Balance as at December 31, 2025</w:t>
            </w:r>
          </w:p>
        </w:tc>
        <w:tc>
          <w:tcPr>
            <w:tcW w:w="256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54,000</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During the year ended December 31, 2024, pursuant to the Umbrella Agreement and upon the delivery of the LNG/C Axios II, the LNG/C Assos, the LNG/C Apostolos and the LNG/C Aktoras from the shipyard, the Company acquired from CMTC the vessel-owning companies of these four LNG/Cs and as a result $120,400 of advances for vessels under construction-related party were transferred to vessels, net (Note 5).</w:t>
      </w:r>
    </w:p>
    <w:p>
      <w:pPr>
        <w:spacing w:after="0" w:line="224" w:lineRule="exact"/>
        <w:rPr>
          <w:sz w:val="20"/>
          <w:szCs w:val="20"/>
          <w:color w:val="auto"/>
        </w:rPr>
      </w:pPr>
    </w:p>
    <w:p>
      <w:pPr>
        <w:jc w:val="right"/>
        <w:spacing w:after="0"/>
        <w:tabs>
          <w:tab w:leader="none" w:pos="920" w:val="left"/>
        </w:tabs>
        <w:rPr>
          <w:sz w:val="20"/>
          <w:szCs w:val="20"/>
          <w:color w:val="auto"/>
        </w:rPr>
      </w:pPr>
      <w:r>
        <w:rPr>
          <w:rFonts w:ascii="Times New Roman" w:cs="Times New Roman" w:eastAsia="Times New Roman" w:hAnsi="Times New Roman"/>
          <w:sz w:val="13"/>
          <w:szCs w:val="13"/>
          <w:color w:val="auto"/>
        </w:rPr>
        <w:t>F- 19</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3"/>
          <w:szCs w:val="13"/>
          <w:b w:val="1"/>
          <w:bCs w:val="1"/>
          <w:color w:val="auto"/>
        </w:rPr>
        <w:t>Capital Clean Energy Carriers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United States Dollars, unless otherwise specified)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7. Above / Below Market Acquired Charters</w:t>
      </w:r>
    </w:p>
    <w:p>
      <w:pPr>
        <w:spacing w:after="0" w:line="1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During the year ended December 31, 2024, the Company acquired the LNG/C Axios II, the LNG/C Apostolos and the LNG/C Aktoras with time and bareboat charter daily rates being above the market rates for equivalent time and bareboat charters prevailing at the time of acquisitions (Note 6). During the year ended December 31, 2024, the Company also acquired the LNG/C Assos with time charter attached to the vessel, with time charter daily rate being below market rate for equivalent time charter prevailing at the time of acquisition (Note 6).</w:t>
      </w:r>
    </w:p>
    <w:p>
      <w:pPr>
        <w:spacing w:after="0" w:line="1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3"/>
          <w:szCs w:val="13"/>
          <w:color w:val="auto"/>
        </w:rPr>
        <w:t>The acquisition consideration allocated to the below and above market acquired charters was determined based on their relative fair value in relation to the fair value of the vessels as of the acquisition date and was recorded as “Above market acquired charters” under other non-current assets or “Below market acquired charters” under long-term liabilities, respectively, in the audited consolidated balance sheets. The fair value of the time and the bareboat charters attached to the vessels are based on the difference between the time and the bareboat charter rates at which the vessels were fixed and the market rates for comparable charters as determined by reference to market data on the acquisition dates. The fair values of the time and the bareboat charters attached were determined using Level 2 inputs being market values on the acquisition dates (Note 10).</w:t>
      </w:r>
    </w:p>
    <w:p>
      <w:pPr>
        <w:spacing w:after="0" w:line="1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Above and below market acquired time and bareboat charters are amortized or accreted using the straight-line method over the remaining period of the time and bareboat charters acquired as a reduction or addition to time and bareboat charter revenues. For the years ended December 31, 2025, 2024 and 2023 such amortization to time and bareboat charter revenues for the above market acquired time and bareboat charters amounted to $34,977, $30,649 and $7,786, respectively. For the years ended December 31, 2025, 2024 and 2023 such accretion to time charter revenues for the below market acquired time charters amounted to $12,392, $13,597 and $11,800, respectively.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20"/>
                <w:szCs w:val="20"/>
                <w:color w:val="auto"/>
              </w:rPr>
            </w:pPr>
            <w:r>
              <w:rPr>
                <w:rFonts w:ascii="Times New Roman" w:cs="Times New Roman" w:eastAsia="Times New Roman" w:hAnsi="Times New Roman"/>
                <w:sz w:val="13"/>
                <w:szCs w:val="13"/>
                <w:color w:val="auto"/>
              </w:rPr>
              <w:t>The following table presents an analysis of above / below market acquired charters:</w:t>
            </w:r>
          </w:p>
        </w:tc>
        <w:tc>
          <w:tcPr>
            <w:tcW w:w="3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Above market</w:t>
            </w:r>
          </w:p>
        </w:tc>
        <w:tc>
          <w:tcPr>
            <w:tcW w:w="100" w:type="dxa"/>
            <w:vAlign w:val="bottom"/>
          </w:tcPr>
          <w:p>
            <w:pPr>
              <w:spacing w:after="0"/>
              <w:rPr>
                <w:sz w:val="15"/>
                <w:szCs w:val="15"/>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Below market</w:t>
            </w:r>
          </w:p>
        </w:tc>
        <w:tc>
          <w:tcPr>
            <w:tcW w:w="0" w:type="dxa"/>
            <w:vAlign w:val="bottom"/>
          </w:tcPr>
          <w:p>
            <w:pPr>
              <w:spacing w:after="0"/>
              <w:rPr>
                <w:sz w:val="1"/>
                <w:szCs w:val="1"/>
                <w:color w:val="auto"/>
              </w:rPr>
            </w:pPr>
          </w:p>
        </w:tc>
      </w:tr>
      <w:tr>
        <w:trPr>
          <w:trHeight w:val="145"/>
        </w:trPr>
        <w:tc>
          <w:tcPr>
            <w:tcW w:w="49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9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acquired charters</w:t>
            </w:r>
          </w:p>
        </w:tc>
        <w:tc>
          <w:tcPr>
            <w:tcW w:w="10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acquired charters</w:t>
            </w:r>
          </w:p>
        </w:tc>
        <w:tc>
          <w:tcPr>
            <w:tcW w:w="0" w:type="dxa"/>
            <w:vAlign w:val="bottom"/>
          </w:tcPr>
          <w:p>
            <w:pPr>
              <w:spacing w:after="0"/>
              <w:rPr>
                <w:sz w:val="1"/>
                <w:szCs w:val="1"/>
                <w:color w:val="auto"/>
              </w:rPr>
            </w:pPr>
          </w:p>
        </w:tc>
      </w:tr>
      <w:tr>
        <w:trPr>
          <w:trHeight w:val="150"/>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Carrying amount as at January 1, 2024</w:t>
            </w:r>
          </w:p>
        </w:tc>
        <w:tc>
          <w:tcPr>
            <w:tcW w:w="37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73,969</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(74,484)</w:t>
            </w:r>
          </w:p>
        </w:tc>
        <w:tc>
          <w:tcPr>
            <w:tcW w:w="0" w:type="dxa"/>
            <w:vAlign w:val="bottom"/>
          </w:tcPr>
          <w:p>
            <w:pPr>
              <w:spacing w:after="0"/>
              <w:rPr>
                <w:sz w:val="1"/>
                <w:szCs w:val="1"/>
                <w:color w:val="auto"/>
              </w:rPr>
            </w:pPr>
          </w:p>
        </w:tc>
      </w:tr>
      <w:tr>
        <w:trPr>
          <w:trHeight w:val="160"/>
        </w:trPr>
        <w:tc>
          <w:tcPr>
            <w:tcW w:w="4980" w:type="dxa"/>
            <w:vAlign w:val="bottom"/>
          </w:tcPr>
          <w:p>
            <w:pPr>
              <w:spacing w:after="0"/>
              <w:rPr>
                <w:sz w:val="20"/>
                <w:szCs w:val="20"/>
                <w:color w:val="auto"/>
              </w:rPr>
            </w:pPr>
            <w:r>
              <w:rPr>
                <w:rFonts w:ascii="Times New Roman" w:cs="Times New Roman" w:eastAsia="Times New Roman" w:hAnsi="Times New Roman"/>
                <w:sz w:val="13"/>
                <w:szCs w:val="13"/>
                <w:color w:val="auto"/>
              </w:rPr>
              <w:t>Additions</w:t>
            </w:r>
          </w:p>
        </w:tc>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58,254</w:t>
            </w:r>
          </w:p>
        </w:tc>
        <w:tc>
          <w:tcPr>
            <w:tcW w:w="10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(5,036)</w:t>
            </w:r>
          </w:p>
        </w:tc>
        <w:tc>
          <w:tcPr>
            <w:tcW w:w="0" w:type="dxa"/>
            <w:vAlign w:val="bottom"/>
          </w:tcPr>
          <w:p>
            <w:pPr>
              <w:spacing w:after="0"/>
              <w:rPr>
                <w:sz w:val="1"/>
                <w:szCs w:val="1"/>
                <w:color w:val="auto"/>
              </w:rPr>
            </w:pPr>
          </w:p>
        </w:tc>
      </w:tr>
      <w:tr>
        <w:trPr>
          <w:trHeight w:val="16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 accretion</w:t>
            </w:r>
          </w:p>
        </w:tc>
        <w:tc>
          <w:tcPr>
            <w:tcW w:w="3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(30,649)</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13,597</w:t>
            </w:r>
          </w:p>
        </w:tc>
        <w:tc>
          <w:tcPr>
            <w:tcW w:w="0" w:type="dxa"/>
            <w:vAlign w:val="bottom"/>
          </w:tcPr>
          <w:p>
            <w:pPr>
              <w:spacing w:after="0"/>
              <w:rPr>
                <w:sz w:val="1"/>
                <w:szCs w:val="1"/>
                <w:color w:val="auto"/>
              </w:rPr>
            </w:pPr>
          </w:p>
        </w:tc>
      </w:tr>
      <w:tr>
        <w:trPr>
          <w:trHeight w:val="150"/>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Carrying amount as at December 31, 2024</w:t>
            </w:r>
          </w:p>
        </w:tc>
        <w:tc>
          <w:tcPr>
            <w:tcW w:w="37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101,574</w:t>
            </w:r>
          </w:p>
        </w:tc>
        <w:tc>
          <w:tcPr>
            <w:tcW w:w="1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(65,923)</w:t>
            </w:r>
          </w:p>
        </w:tc>
        <w:tc>
          <w:tcPr>
            <w:tcW w:w="0" w:type="dxa"/>
            <w:vAlign w:val="bottom"/>
          </w:tcPr>
          <w:p>
            <w:pPr>
              <w:spacing w:after="0"/>
              <w:rPr>
                <w:sz w:val="1"/>
                <w:szCs w:val="1"/>
                <w:color w:val="auto"/>
              </w:rPr>
            </w:pPr>
          </w:p>
        </w:tc>
      </w:tr>
      <w:tr>
        <w:trPr>
          <w:trHeight w:val="15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 accretion</w:t>
            </w:r>
          </w:p>
        </w:tc>
        <w:tc>
          <w:tcPr>
            <w:tcW w:w="3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(34,977)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12,392</w:t>
            </w:r>
          </w:p>
        </w:tc>
        <w:tc>
          <w:tcPr>
            <w:tcW w:w="0" w:type="dxa"/>
            <w:vAlign w:val="bottom"/>
          </w:tcPr>
          <w:p>
            <w:pPr>
              <w:spacing w:after="0"/>
              <w:rPr>
                <w:sz w:val="1"/>
                <w:szCs w:val="1"/>
                <w:color w:val="auto"/>
              </w:rPr>
            </w:pPr>
          </w:p>
        </w:tc>
      </w:tr>
      <w:tr>
        <w:trPr>
          <w:trHeight w:val="160"/>
        </w:trPr>
        <w:tc>
          <w:tcPr>
            <w:tcW w:w="49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Carrying amount as at December 31, 2025</w:t>
            </w:r>
          </w:p>
        </w:tc>
        <w:tc>
          <w:tcPr>
            <w:tcW w:w="3840" w:type="dxa"/>
            <w:vAlign w:val="bottom"/>
            <w:gridSpan w:val="2"/>
          </w:tcPr>
          <w:p>
            <w:pPr>
              <w:jc w:val="right"/>
              <w:ind w:right="5"/>
              <w:spacing w:after="0"/>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66,597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(53,531)</w:t>
            </w:r>
          </w:p>
        </w:tc>
        <w:tc>
          <w:tcPr>
            <w:tcW w:w="0" w:type="dxa"/>
            <w:vAlign w:val="bottom"/>
          </w:tcPr>
          <w:p>
            <w:pPr>
              <w:spacing w:after="0"/>
              <w:rPr>
                <w:sz w:val="1"/>
                <w:szCs w:val="1"/>
                <w:color w:val="auto"/>
              </w:rPr>
            </w:pPr>
          </w:p>
        </w:tc>
      </w:tr>
      <w:tr>
        <w:trPr>
          <w:trHeight w:val="20"/>
        </w:trPr>
        <w:tc>
          <w:tcPr>
            <w:tcW w:w="8700" w:type="dxa"/>
            <w:vAlign w:val="bottom"/>
            <w:gridSpan w:val="2"/>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100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As of December 31, 2025, the remaining carrying amount of unamortized above / below market acquired time charters will be amortized / accreted in future years as follows: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9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For the year ending December 31,</w:t>
            </w:r>
          </w:p>
        </w:tc>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Above market</w:t>
            </w:r>
          </w:p>
        </w:tc>
        <w:tc>
          <w:tcPr>
            <w:tcW w:w="100" w:type="dxa"/>
            <w:vAlign w:val="bottom"/>
          </w:tcPr>
          <w:p>
            <w:pPr>
              <w:spacing w:after="0"/>
              <w:rPr>
                <w:sz w:val="13"/>
                <w:szCs w:val="13"/>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Below market</w:t>
            </w:r>
          </w:p>
        </w:tc>
        <w:tc>
          <w:tcPr>
            <w:tcW w:w="0" w:type="dxa"/>
            <w:vAlign w:val="bottom"/>
          </w:tcPr>
          <w:p>
            <w:pPr>
              <w:spacing w:after="0"/>
              <w:rPr>
                <w:sz w:val="1"/>
                <w:szCs w:val="1"/>
                <w:color w:val="auto"/>
              </w:rPr>
            </w:pPr>
          </w:p>
        </w:tc>
      </w:tr>
      <w:tr>
        <w:trPr>
          <w:trHeight w:val="95"/>
        </w:trPr>
        <w:tc>
          <w:tcPr>
            <w:tcW w:w="4980" w:type="dxa"/>
            <w:vAlign w:val="bottom"/>
            <w:vMerge w:val="continue"/>
          </w:tcPr>
          <w:p>
            <w:pPr>
              <w:spacing w:after="0"/>
              <w:rPr>
                <w:sz w:val="8"/>
                <w:szCs w:val="8"/>
                <w:color w:val="auto"/>
              </w:rPr>
            </w:pPr>
          </w:p>
        </w:tc>
        <w:tc>
          <w:tcPr>
            <w:tcW w:w="3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acquired charters</w:t>
            </w:r>
          </w:p>
        </w:tc>
        <w:tc>
          <w:tcPr>
            <w:tcW w:w="100" w:type="dxa"/>
            <w:vAlign w:val="bottom"/>
          </w:tcPr>
          <w:p>
            <w:pPr>
              <w:spacing w:after="0"/>
              <w:rPr>
                <w:sz w:val="8"/>
                <w:szCs w:val="8"/>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acquired charters</w:t>
            </w:r>
          </w:p>
        </w:tc>
        <w:tc>
          <w:tcPr>
            <w:tcW w:w="0" w:type="dxa"/>
            <w:vAlign w:val="bottom"/>
          </w:tcPr>
          <w:p>
            <w:pPr>
              <w:spacing w:after="0"/>
              <w:rPr>
                <w:sz w:val="1"/>
                <w:szCs w:val="1"/>
                <w:color w:val="auto"/>
              </w:rPr>
            </w:pPr>
          </w:p>
        </w:tc>
      </w:tr>
      <w:tr>
        <w:trPr>
          <w:trHeight w:val="80"/>
        </w:trPr>
        <w:tc>
          <w:tcPr>
            <w:tcW w:w="4980" w:type="dxa"/>
            <w:vAlign w:val="bottom"/>
          </w:tcPr>
          <w:p>
            <w:pPr>
              <w:spacing w:after="0"/>
              <w:rPr>
                <w:sz w:val="6"/>
                <w:szCs w:val="6"/>
                <w:color w:val="auto"/>
              </w:rPr>
            </w:pPr>
          </w:p>
        </w:tc>
        <w:tc>
          <w:tcPr>
            <w:tcW w:w="3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2026</w:t>
            </w:r>
          </w:p>
        </w:tc>
        <w:tc>
          <w:tcPr>
            <w:tcW w:w="37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25,764</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(12,328)</w:t>
            </w:r>
          </w:p>
        </w:tc>
        <w:tc>
          <w:tcPr>
            <w:tcW w:w="0" w:type="dxa"/>
            <w:vAlign w:val="bottom"/>
          </w:tcPr>
          <w:p>
            <w:pPr>
              <w:spacing w:after="0"/>
              <w:rPr>
                <w:sz w:val="1"/>
                <w:szCs w:val="1"/>
                <w:color w:val="auto"/>
              </w:rPr>
            </w:pPr>
          </w:p>
        </w:tc>
      </w:tr>
      <w:tr>
        <w:trPr>
          <w:trHeight w:val="160"/>
        </w:trPr>
        <w:tc>
          <w:tcPr>
            <w:tcW w:w="4980" w:type="dxa"/>
            <w:vAlign w:val="bottom"/>
          </w:tcPr>
          <w:p>
            <w:pPr>
              <w:spacing w:after="0"/>
              <w:rPr>
                <w:sz w:val="20"/>
                <w:szCs w:val="20"/>
                <w:color w:val="auto"/>
              </w:rPr>
            </w:pPr>
            <w:r>
              <w:rPr>
                <w:rFonts w:ascii="Times New Roman" w:cs="Times New Roman" w:eastAsia="Times New Roman" w:hAnsi="Times New Roman"/>
                <w:sz w:val="13"/>
                <w:szCs w:val="13"/>
                <w:color w:val="auto"/>
              </w:rPr>
              <w:t>2027</w:t>
            </w:r>
          </w:p>
        </w:tc>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7,451</w:t>
            </w:r>
          </w:p>
        </w:tc>
        <w:tc>
          <w:tcPr>
            <w:tcW w:w="10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(12,328)</w:t>
            </w:r>
          </w:p>
        </w:tc>
        <w:tc>
          <w:tcPr>
            <w:tcW w:w="0" w:type="dxa"/>
            <w:vAlign w:val="bottom"/>
          </w:tcPr>
          <w:p>
            <w:pPr>
              <w:spacing w:after="0"/>
              <w:rPr>
                <w:sz w:val="1"/>
                <w:szCs w:val="1"/>
                <w:color w:val="auto"/>
              </w:rPr>
            </w:pPr>
          </w:p>
        </w:tc>
      </w:tr>
      <w:tr>
        <w:trPr>
          <w:trHeight w:val="16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2028</w:t>
            </w:r>
          </w:p>
        </w:tc>
        <w:tc>
          <w:tcPr>
            <w:tcW w:w="3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7,471</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(12,360)</w:t>
            </w:r>
          </w:p>
        </w:tc>
        <w:tc>
          <w:tcPr>
            <w:tcW w:w="0" w:type="dxa"/>
            <w:vAlign w:val="bottom"/>
          </w:tcPr>
          <w:p>
            <w:pPr>
              <w:spacing w:after="0"/>
              <w:rPr>
                <w:sz w:val="1"/>
                <w:szCs w:val="1"/>
                <w:color w:val="auto"/>
              </w:rPr>
            </w:pPr>
          </w:p>
        </w:tc>
      </w:tr>
      <w:tr>
        <w:trPr>
          <w:trHeight w:val="160"/>
        </w:trPr>
        <w:tc>
          <w:tcPr>
            <w:tcW w:w="4980" w:type="dxa"/>
            <w:vAlign w:val="bottom"/>
          </w:tcPr>
          <w:p>
            <w:pPr>
              <w:spacing w:after="0"/>
              <w:rPr>
                <w:sz w:val="20"/>
                <w:szCs w:val="20"/>
                <w:color w:val="auto"/>
              </w:rPr>
            </w:pPr>
            <w:r>
              <w:rPr>
                <w:rFonts w:ascii="Times New Roman" w:cs="Times New Roman" w:eastAsia="Times New Roman" w:hAnsi="Times New Roman"/>
                <w:sz w:val="13"/>
                <w:szCs w:val="13"/>
                <w:color w:val="auto"/>
              </w:rPr>
              <w:t>2029</w:t>
            </w:r>
          </w:p>
        </w:tc>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7,451</w:t>
            </w:r>
          </w:p>
        </w:tc>
        <w:tc>
          <w:tcPr>
            <w:tcW w:w="10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(11,907)</w:t>
            </w:r>
          </w:p>
        </w:tc>
        <w:tc>
          <w:tcPr>
            <w:tcW w:w="0" w:type="dxa"/>
            <w:vAlign w:val="bottom"/>
          </w:tcPr>
          <w:p>
            <w:pPr>
              <w:spacing w:after="0"/>
              <w:rPr>
                <w:sz w:val="1"/>
                <w:szCs w:val="1"/>
                <w:color w:val="auto"/>
              </w:rPr>
            </w:pPr>
          </w:p>
        </w:tc>
      </w:tr>
      <w:tr>
        <w:trPr>
          <w:trHeight w:val="16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2030</w:t>
            </w:r>
          </w:p>
        </w:tc>
        <w:tc>
          <w:tcPr>
            <w:tcW w:w="3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7,451</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(1,373)</w:t>
            </w:r>
          </w:p>
        </w:tc>
        <w:tc>
          <w:tcPr>
            <w:tcW w:w="0" w:type="dxa"/>
            <w:vAlign w:val="bottom"/>
          </w:tcPr>
          <w:p>
            <w:pPr>
              <w:spacing w:after="0"/>
              <w:rPr>
                <w:sz w:val="1"/>
                <w:szCs w:val="1"/>
                <w:color w:val="auto"/>
              </w:rPr>
            </w:pPr>
          </w:p>
        </w:tc>
      </w:tr>
      <w:tr>
        <w:trPr>
          <w:trHeight w:val="160"/>
        </w:trPr>
        <w:tc>
          <w:tcPr>
            <w:tcW w:w="4980" w:type="dxa"/>
            <w:vAlign w:val="bottom"/>
          </w:tcPr>
          <w:p>
            <w:pPr>
              <w:spacing w:after="0"/>
              <w:rPr>
                <w:sz w:val="20"/>
                <w:szCs w:val="20"/>
                <w:color w:val="auto"/>
              </w:rPr>
            </w:pPr>
            <w:r>
              <w:rPr>
                <w:rFonts w:ascii="Times New Roman" w:cs="Times New Roman" w:eastAsia="Times New Roman" w:hAnsi="Times New Roman"/>
                <w:sz w:val="13"/>
                <w:szCs w:val="13"/>
                <w:color w:val="auto"/>
              </w:rPr>
              <w:t>Thereafter</w:t>
            </w:r>
          </w:p>
        </w:tc>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11,009</w:t>
            </w:r>
          </w:p>
        </w:tc>
        <w:tc>
          <w:tcPr>
            <w:tcW w:w="10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(3,235)</w:t>
            </w:r>
          </w:p>
        </w:tc>
        <w:tc>
          <w:tcPr>
            <w:tcW w:w="0" w:type="dxa"/>
            <w:vAlign w:val="bottom"/>
          </w:tcPr>
          <w:p>
            <w:pPr>
              <w:spacing w:after="0"/>
              <w:rPr>
                <w:sz w:val="1"/>
                <w:szCs w:val="1"/>
                <w:color w:val="auto"/>
              </w:rPr>
            </w:pPr>
          </w:p>
        </w:tc>
      </w:tr>
      <w:tr>
        <w:trPr>
          <w:trHeight w:val="150"/>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7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66,597</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(53,531)</w:t>
            </w:r>
          </w:p>
        </w:tc>
        <w:tc>
          <w:tcPr>
            <w:tcW w:w="0" w:type="dxa"/>
            <w:vAlign w:val="bottom"/>
          </w:tcPr>
          <w:p>
            <w:pPr>
              <w:spacing w:after="0"/>
              <w:rPr>
                <w:sz w:val="1"/>
                <w:szCs w:val="1"/>
                <w:color w:val="auto"/>
              </w:rPr>
            </w:pPr>
          </w:p>
        </w:tc>
      </w:tr>
      <w:tr>
        <w:trPr>
          <w:trHeight w:val="399"/>
        </w:trPr>
        <w:tc>
          <w:tcPr>
            <w:tcW w:w="4980" w:type="dxa"/>
            <w:vAlign w:val="bottom"/>
          </w:tcPr>
          <w:p>
            <w:pPr>
              <w:spacing w:after="0"/>
              <w:rPr>
                <w:sz w:val="24"/>
                <w:szCs w:val="24"/>
                <w:color w:val="auto"/>
              </w:rPr>
            </w:pPr>
          </w:p>
        </w:tc>
        <w:tc>
          <w:tcPr>
            <w:tcW w:w="3840" w:type="dxa"/>
            <w:vAlign w:val="bottom"/>
            <w:gridSpan w:val="2"/>
          </w:tcPr>
          <w:p>
            <w:pPr>
              <w:jc w:val="right"/>
              <w:ind w:right="2965"/>
              <w:spacing w:after="0"/>
              <w:rPr>
                <w:sz w:val="20"/>
                <w:szCs w:val="20"/>
                <w:color w:val="auto"/>
              </w:rPr>
            </w:pPr>
            <w:r>
              <w:rPr>
                <w:rFonts w:ascii="Times New Roman" w:cs="Times New Roman" w:eastAsia="Times New Roman" w:hAnsi="Times New Roman"/>
                <w:sz w:val="13"/>
                <w:szCs w:val="13"/>
                <w:color w:val="auto"/>
              </w:rPr>
              <w:t>F- 20</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3"/>
                <w:szCs w:val="13"/>
                <w:color w:val="0000EE"/>
                <w:w w:val="98"/>
              </w:rPr>
              <w:t>Table of Contents</w:t>
            </w:r>
          </w:p>
        </w:tc>
        <w:tc>
          <w:tcPr>
            <w:tcW w:w="0" w:type="dxa"/>
            <w:vAlign w:val="bottom"/>
          </w:tcPr>
          <w:p>
            <w:pPr>
              <w:spacing w:after="0"/>
              <w:rPr>
                <w:sz w:val="1"/>
                <w:szCs w:val="1"/>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00" w:top="205" w:right="31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3"/>
          <w:szCs w:val="13"/>
          <w:b w:val="1"/>
          <w:bCs w:val="1"/>
          <w:color w:val="auto"/>
        </w:rPr>
        <w:t>Capital Clean Energy Carriers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United States Dollars, unless otherwise specified)</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8. Long-Term Debt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Long-term debt consists of the following financing arrangements. As of December 31, 2025 and 2024, the following amounts were outstanding under the Company’s financing arrangements:</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 xml:space="preserve">As of December 31, 2025 </w:t>
      </w:r>
      <w:r>
        <w:rPr>
          <w:rFonts w:ascii="Times New Roman" w:cs="Times New Roman" w:eastAsia="Times New Roman" w:hAnsi="Times New Roman"/>
          <w:sz w:val="13"/>
          <w:szCs w:val="13"/>
          <w:b w:val="1"/>
          <w:bCs w:val="1"/>
          <w:u w:val="single" w:color="auto"/>
          <w:color w:val="auto"/>
        </w:rPr>
        <w:t>As of December 31, 2024 Rate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4772025</wp:posOffset>
            </wp:positionH>
            <wp:positionV relativeFrom="paragraph">
              <wp:posOffset>6350</wp:posOffset>
            </wp:positionV>
            <wp:extent cx="918845"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7">
                      <a:extLst>
                        <a:ext uri="{28A0092B-C50C-407E-A947-70E740481C1C}"/>
                      </a:extLst>
                    </a:blip>
                    <a:srcRect/>
                    <a:stretch>
                      <a:fillRect/>
                    </a:stretch>
                  </pic:blipFill>
                  <pic:spPr bwMode="auto">
                    <a:xfrm>
                      <a:off x="0" y="0"/>
                      <a:ext cx="918845" cy="635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3"/>
          <w:szCs w:val="13"/>
          <w:b w:val="1"/>
          <w:bCs w:val="1"/>
          <w:i w:val="1"/>
          <w:iCs w:val="1"/>
          <w:u w:val="single" w:color="auto"/>
          <w:color w:val="auto"/>
        </w:rPr>
        <w:t>Credit facilities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5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Margin +</w:t>
            </w:r>
          </w:p>
        </w:tc>
        <w:tc>
          <w:tcPr>
            <w:tcW w:w="0" w:type="dxa"/>
            <w:vAlign w:val="bottom"/>
          </w:tcPr>
          <w:p>
            <w:pPr>
              <w:spacing w:after="0"/>
              <w:rPr>
                <w:sz w:val="1"/>
                <w:szCs w:val="1"/>
                <w:color w:val="auto"/>
              </w:rPr>
            </w:pPr>
          </w:p>
        </w:tc>
      </w:tr>
      <w:tr>
        <w:trPr>
          <w:trHeight w:val="160"/>
        </w:trPr>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5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Secured</w:t>
            </w:r>
          </w:p>
        </w:tc>
        <w:tc>
          <w:tcPr>
            <w:tcW w:w="0" w:type="dxa"/>
            <w:vAlign w:val="bottom"/>
          </w:tcPr>
          <w:p>
            <w:pPr>
              <w:spacing w:after="0"/>
              <w:rPr>
                <w:sz w:val="1"/>
                <w:szCs w:val="1"/>
                <w:color w:val="auto"/>
              </w:rPr>
            </w:pPr>
          </w:p>
        </w:tc>
      </w:tr>
      <w:tr>
        <w:trPr>
          <w:trHeight w:val="160"/>
        </w:trPr>
        <w:tc>
          <w:tcPr>
            <w:tcW w:w="75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 Issued in January 2024 maturing in December 2030 (the “2024 - LNG/C Axios II credit facility”)</w:t>
            </w:r>
          </w:p>
        </w:tc>
        <w:tc>
          <w:tcPr>
            <w:tcW w:w="1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Overnight</w:t>
            </w:r>
          </w:p>
        </w:tc>
        <w:tc>
          <w:tcPr>
            <w:tcW w:w="0" w:type="dxa"/>
            <w:vAlign w:val="bottom"/>
          </w:tcPr>
          <w:p>
            <w:pPr>
              <w:spacing w:after="0"/>
              <w:rPr>
                <w:sz w:val="1"/>
                <w:szCs w:val="1"/>
                <w:color w:val="auto"/>
              </w:rPr>
            </w:pPr>
          </w:p>
        </w:tc>
      </w:tr>
      <w:tr>
        <w:trPr>
          <w:trHeight w:val="160"/>
        </w:trPr>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5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Financing Rate</w:t>
            </w:r>
          </w:p>
        </w:tc>
        <w:tc>
          <w:tcPr>
            <w:tcW w:w="0" w:type="dxa"/>
            <w:vAlign w:val="bottom"/>
          </w:tcPr>
          <w:p>
            <w:pPr>
              <w:spacing w:after="0"/>
              <w:rPr>
                <w:sz w:val="1"/>
                <w:szCs w:val="1"/>
                <w:color w:val="auto"/>
              </w:rPr>
            </w:pPr>
          </w:p>
        </w:tc>
      </w:tr>
      <w:tr>
        <w:trPr>
          <w:trHeight w:val="172"/>
        </w:trPr>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5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170,000</w:t>
            </w:r>
          </w:p>
        </w:tc>
        <w:tc>
          <w:tcPr>
            <w:tcW w:w="40" w:type="dxa"/>
            <w:vAlign w:val="bottom"/>
            <w:shd w:val="clear" w:color="auto" w:fill="CCEEFF"/>
          </w:tcPr>
          <w:p>
            <w:pPr>
              <w:spacing w:after="0"/>
              <w:rPr>
                <w:sz w:val="14"/>
                <w:szCs w:val="14"/>
                <w:color w:val="auto"/>
              </w:rPr>
            </w:pPr>
          </w:p>
        </w:tc>
        <w:tc>
          <w:tcPr>
            <w:tcW w:w="1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180,000</w:t>
            </w: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(“SOFR”)</w:t>
            </w:r>
          </w:p>
        </w:tc>
        <w:tc>
          <w:tcPr>
            <w:tcW w:w="0" w:type="dxa"/>
            <w:vAlign w:val="bottom"/>
          </w:tcPr>
          <w:p>
            <w:pPr>
              <w:spacing w:after="0"/>
              <w:rPr>
                <w:sz w:val="1"/>
                <w:szCs w:val="1"/>
                <w:color w:val="auto"/>
              </w:rPr>
            </w:pPr>
          </w:p>
        </w:tc>
      </w:tr>
      <w:tr>
        <w:trPr>
          <w:trHeight w:val="160"/>
        </w:trPr>
        <w:tc>
          <w:tcPr>
            <w:tcW w:w="752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(ii) Issued in June 2024 maturing in June 2031 (the “2024 - LNG/C Aktoras credit facility”)</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220,500</w:t>
            </w:r>
          </w:p>
        </w:tc>
        <w:tc>
          <w:tcPr>
            <w:tcW w:w="40" w:type="dxa"/>
            <w:vAlign w:val="bottom"/>
          </w:tcPr>
          <w:p>
            <w:pPr>
              <w:spacing w:after="0"/>
              <w:rPr>
                <w:sz w:val="13"/>
                <w:szCs w:val="13"/>
                <w:color w:val="auto"/>
              </w:rPr>
            </w:pP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233,500</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Margin + SOFR</w:t>
            </w:r>
          </w:p>
        </w:tc>
        <w:tc>
          <w:tcPr>
            <w:tcW w:w="0" w:type="dxa"/>
            <w:vAlign w:val="bottom"/>
          </w:tcPr>
          <w:p>
            <w:pPr>
              <w:spacing w:after="0"/>
              <w:rPr>
                <w:sz w:val="1"/>
                <w:szCs w:val="1"/>
                <w:color w:val="auto"/>
              </w:rPr>
            </w:pPr>
          </w:p>
        </w:tc>
      </w:tr>
      <w:tr>
        <w:trPr>
          <w:trHeight w:val="160"/>
        </w:trPr>
        <w:tc>
          <w:tcPr>
            <w:tcW w:w="75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(iii) Issued in June 2024 maturing in June 2031 (the “2024 - LNG/C Aristidis I credit facility”)</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143,375</w:t>
            </w:r>
          </w:p>
        </w:tc>
        <w:tc>
          <w:tcPr>
            <w:tcW w:w="40" w:type="dxa"/>
            <w:vAlign w:val="bottom"/>
            <w:shd w:val="clear" w:color="auto" w:fill="CCEEFF"/>
          </w:tcPr>
          <w:p>
            <w:pPr>
              <w:spacing w:after="0"/>
              <w:rPr>
                <w:sz w:val="13"/>
                <w:szCs w:val="13"/>
                <w:color w:val="auto"/>
              </w:rPr>
            </w:pPr>
          </w:p>
        </w:tc>
        <w:tc>
          <w:tcPr>
            <w:tcW w:w="1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151,125</w:t>
            </w: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Margin + SOFR</w:t>
            </w:r>
          </w:p>
        </w:tc>
        <w:tc>
          <w:tcPr>
            <w:tcW w:w="0" w:type="dxa"/>
            <w:vAlign w:val="bottom"/>
          </w:tcPr>
          <w:p>
            <w:pPr>
              <w:spacing w:after="0"/>
              <w:rPr>
                <w:sz w:val="1"/>
                <w:szCs w:val="1"/>
                <w:color w:val="auto"/>
              </w:rPr>
            </w:pPr>
          </w:p>
        </w:tc>
      </w:tr>
      <w:tr>
        <w:trPr>
          <w:trHeight w:val="160"/>
        </w:trPr>
        <w:tc>
          <w:tcPr>
            <w:tcW w:w="752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(iv) Issued in September 2025 maturing in December 2037 (the Tranche A of the “2025 - LCO2 - HMG/Cs Active, Alkimos credit facility”)</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44,454</w:t>
            </w: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Margin + SOFR</w:t>
            </w:r>
          </w:p>
        </w:tc>
        <w:tc>
          <w:tcPr>
            <w:tcW w:w="0" w:type="dxa"/>
            <w:vAlign w:val="bottom"/>
          </w:tcPr>
          <w:p>
            <w:pPr>
              <w:spacing w:after="0"/>
              <w:rPr>
                <w:sz w:val="1"/>
                <w:szCs w:val="1"/>
                <w:color w:val="auto"/>
              </w:rPr>
            </w:pPr>
          </w:p>
        </w:tc>
      </w:tr>
      <w:tr>
        <w:trPr>
          <w:trHeight w:val="130"/>
        </w:trPr>
        <w:tc>
          <w:tcPr>
            <w:tcW w:w="260" w:type="dxa"/>
            <w:vAlign w:val="bottom"/>
            <w:shd w:val="clear" w:color="auto" w:fill="CCEEFF"/>
          </w:tcPr>
          <w:p>
            <w:pPr>
              <w:spacing w:after="0"/>
              <w:rPr>
                <w:sz w:val="11"/>
                <w:szCs w:val="11"/>
                <w:color w:val="auto"/>
              </w:rPr>
            </w:pPr>
          </w:p>
        </w:tc>
        <w:tc>
          <w:tcPr>
            <w:tcW w:w="7260" w:type="dxa"/>
            <w:vAlign w:val="bottom"/>
            <w:gridSpan w:val="3"/>
            <w:shd w:val="clear" w:color="auto" w:fill="CCEEFF"/>
          </w:tcPr>
          <w:p>
            <w:pPr>
              <w:spacing w:after="0" w:line="130" w:lineRule="exact"/>
              <w:rPr>
                <w:sz w:val="20"/>
                <w:szCs w:val="20"/>
                <w:color w:val="auto"/>
              </w:rPr>
            </w:pPr>
            <w:r>
              <w:rPr>
                <w:rFonts w:ascii="Times New Roman" w:cs="Times New Roman" w:eastAsia="Times New Roman" w:hAnsi="Times New Roman"/>
                <w:sz w:val="13"/>
                <w:szCs w:val="13"/>
                <w:b w:val="1"/>
                <w:bCs w:val="1"/>
                <w:i w:val="1"/>
                <w:iCs w:val="1"/>
                <w:color w:val="auto"/>
              </w:rPr>
              <w:t>Sale and lease back agreements</w:t>
            </w:r>
          </w:p>
        </w:tc>
        <w:tc>
          <w:tcPr>
            <w:tcW w:w="1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6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5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52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(v) Assumed in September 2021 maturing in June 2030 (the “2021 Bocomm”)</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112,028</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118,216</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Margin + SOFR</w:t>
            </w:r>
          </w:p>
        </w:tc>
        <w:tc>
          <w:tcPr>
            <w:tcW w:w="0" w:type="dxa"/>
            <w:vAlign w:val="bottom"/>
          </w:tcPr>
          <w:p>
            <w:pPr>
              <w:spacing w:after="0"/>
              <w:rPr>
                <w:sz w:val="1"/>
                <w:szCs w:val="1"/>
                <w:color w:val="auto"/>
              </w:rPr>
            </w:pPr>
          </w:p>
        </w:tc>
      </w:tr>
      <w:tr>
        <w:trPr>
          <w:trHeight w:val="160"/>
        </w:trPr>
        <w:tc>
          <w:tcPr>
            <w:tcW w:w="75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(vi) Assumed in September 2021 maturing in November 2029 (the “2021 Bocomm”)</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107,311</w:t>
            </w:r>
          </w:p>
        </w:tc>
        <w:tc>
          <w:tcPr>
            <w:tcW w:w="1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113,210</w:t>
            </w: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Margin + SOFR</w:t>
            </w:r>
          </w:p>
        </w:tc>
        <w:tc>
          <w:tcPr>
            <w:tcW w:w="0" w:type="dxa"/>
            <w:vAlign w:val="bottom"/>
          </w:tcPr>
          <w:p>
            <w:pPr>
              <w:spacing w:after="0"/>
              <w:rPr>
                <w:sz w:val="1"/>
                <w:szCs w:val="1"/>
                <w:color w:val="auto"/>
              </w:rPr>
            </w:pPr>
          </w:p>
        </w:tc>
      </w:tr>
      <w:tr>
        <w:trPr>
          <w:trHeight w:val="160"/>
        </w:trPr>
        <w:tc>
          <w:tcPr>
            <w:tcW w:w="75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(vii) Assumed in November 2021 maturing in July 2036 (the “2021 Shin Doun”)</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117,817</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124,376</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Fixed rate</w:t>
            </w:r>
          </w:p>
        </w:tc>
        <w:tc>
          <w:tcPr>
            <w:tcW w:w="0" w:type="dxa"/>
            <w:vAlign w:val="bottom"/>
          </w:tcPr>
          <w:p>
            <w:pPr>
              <w:spacing w:after="0"/>
              <w:rPr>
                <w:sz w:val="1"/>
                <w:szCs w:val="1"/>
                <w:color w:val="auto"/>
              </w:rPr>
            </w:pPr>
          </w:p>
        </w:tc>
      </w:tr>
      <w:tr>
        <w:trPr>
          <w:trHeight w:val="147"/>
        </w:trPr>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5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jc w:val="center"/>
              <w:ind w:left="53"/>
              <w:spacing w:after="0" w:line="147" w:lineRule="exact"/>
              <w:rPr>
                <w:sz w:val="20"/>
                <w:szCs w:val="20"/>
                <w:color w:val="auto"/>
              </w:rPr>
            </w:pPr>
            <w:r>
              <w:rPr>
                <w:rFonts w:ascii="Times New Roman" w:cs="Times New Roman" w:eastAsia="Times New Roman" w:hAnsi="Times New Roman"/>
                <w:sz w:val="13"/>
                <w:szCs w:val="13"/>
                <w:color w:val="auto"/>
                <w:w w:val="99"/>
              </w:rPr>
              <w:t>($63,662: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52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(viii)Issued in December 2022 maturing in January 2031(the “2022 Jolco”)</w:t>
            </w:r>
          </w:p>
        </w:tc>
        <w:tc>
          <w:tcPr>
            <w:tcW w:w="1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Margin +</w:t>
            </w:r>
          </w:p>
        </w:tc>
        <w:tc>
          <w:tcPr>
            <w:tcW w:w="0" w:type="dxa"/>
            <w:vAlign w:val="bottom"/>
          </w:tcPr>
          <w:p>
            <w:pPr>
              <w:spacing w:after="0"/>
              <w:rPr>
                <w:sz w:val="1"/>
                <w:szCs w:val="1"/>
                <w:color w:val="auto"/>
              </w:rPr>
            </w:pPr>
          </w:p>
        </w:tc>
      </w:tr>
      <w:tr>
        <w:trPr>
          <w:trHeight w:val="93"/>
        </w:trPr>
        <w:tc>
          <w:tcPr>
            <w:tcW w:w="7520" w:type="dxa"/>
            <w:vAlign w:val="bottom"/>
            <w:gridSpan w:val="4"/>
            <w:vMerge w:val="continue"/>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9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SOFR, $32,400:</w:t>
            </w:r>
          </w:p>
        </w:tc>
        <w:tc>
          <w:tcPr>
            <w:tcW w:w="0" w:type="dxa"/>
            <w:vAlign w:val="bottom"/>
          </w:tcPr>
          <w:p>
            <w:pPr>
              <w:spacing w:after="0"/>
              <w:rPr>
                <w:sz w:val="1"/>
                <w:szCs w:val="1"/>
                <w:color w:val="auto"/>
              </w:rPr>
            </w:pPr>
          </w:p>
        </w:tc>
      </w:tr>
      <w:tr>
        <w:trPr>
          <w:trHeight w:val="67"/>
        </w:trPr>
        <w:tc>
          <w:tcPr>
            <w:tcW w:w="26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552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5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96,062</w:t>
            </w:r>
          </w:p>
        </w:tc>
        <w:tc>
          <w:tcPr>
            <w:tcW w:w="1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100,273</w:t>
            </w: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Fixed rate)</w:t>
            </w:r>
          </w:p>
        </w:tc>
        <w:tc>
          <w:tcPr>
            <w:tcW w:w="0" w:type="dxa"/>
            <w:vAlign w:val="bottom"/>
          </w:tcPr>
          <w:p>
            <w:pPr>
              <w:spacing w:after="0"/>
              <w:rPr>
                <w:sz w:val="1"/>
                <w:szCs w:val="1"/>
                <w:color w:val="auto"/>
              </w:rPr>
            </w:pPr>
          </w:p>
        </w:tc>
      </w:tr>
      <w:tr>
        <w:trPr>
          <w:trHeight w:val="160"/>
        </w:trPr>
        <w:tc>
          <w:tcPr>
            <w:tcW w:w="752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(ix) Issued in February 2023 maturing in February 2033(the “2023 CMBFL - LNG/C”)</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159,937</w:t>
            </w:r>
          </w:p>
        </w:tc>
        <w:tc>
          <w:tcPr>
            <w:tcW w:w="40" w:type="dxa"/>
            <w:vAlign w:val="bottom"/>
          </w:tcPr>
          <w:p>
            <w:pPr>
              <w:spacing w:after="0"/>
              <w:rPr>
                <w:sz w:val="13"/>
                <w:szCs w:val="13"/>
                <w:color w:val="auto"/>
              </w:rPr>
            </w:pP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168,687</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Margin + SOFR</w:t>
            </w:r>
          </w:p>
        </w:tc>
        <w:tc>
          <w:tcPr>
            <w:tcW w:w="0" w:type="dxa"/>
            <w:vAlign w:val="bottom"/>
          </w:tcPr>
          <w:p>
            <w:pPr>
              <w:spacing w:after="0"/>
              <w:rPr>
                <w:sz w:val="1"/>
                <w:szCs w:val="1"/>
                <w:color w:val="auto"/>
              </w:rPr>
            </w:pPr>
          </w:p>
        </w:tc>
      </w:tr>
      <w:tr>
        <w:trPr>
          <w:trHeight w:val="160"/>
        </w:trPr>
        <w:tc>
          <w:tcPr>
            <w:tcW w:w="75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(x) Assumed in December 2023 maturing in October 2033 (the “2023 CMBFL - LNG/C AMI”)</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152,107</w:t>
            </w:r>
          </w:p>
        </w:tc>
        <w:tc>
          <w:tcPr>
            <w:tcW w:w="40" w:type="dxa"/>
            <w:vAlign w:val="bottom"/>
            <w:shd w:val="clear" w:color="auto" w:fill="CCEEFF"/>
          </w:tcPr>
          <w:p>
            <w:pPr>
              <w:spacing w:after="0"/>
              <w:rPr>
                <w:sz w:val="13"/>
                <w:szCs w:val="13"/>
                <w:color w:val="auto"/>
              </w:rPr>
            </w:pPr>
          </w:p>
        </w:tc>
        <w:tc>
          <w:tcPr>
            <w:tcW w:w="1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174,212</w:t>
            </w: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Margin + SOFR</w:t>
            </w:r>
          </w:p>
        </w:tc>
        <w:tc>
          <w:tcPr>
            <w:tcW w:w="0" w:type="dxa"/>
            <w:vAlign w:val="bottom"/>
          </w:tcPr>
          <w:p>
            <w:pPr>
              <w:spacing w:after="0"/>
              <w:rPr>
                <w:sz w:val="1"/>
                <w:szCs w:val="1"/>
                <w:color w:val="auto"/>
              </w:rPr>
            </w:pPr>
          </w:p>
        </w:tc>
      </w:tr>
      <w:tr>
        <w:trPr>
          <w:trHeight w:val="147"/>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jc w:val="center"/>
              <w:ind w:left="53"/>
              <w:spacing w:after="0" w:line="147" w:lineRule="exact"/>
              <w:rPr>
                <w:sz w:val="20"/>
                <w:szCs w:val="20"/>
                <w:color w:val="auto"/>
              </w:rPr>
            </w:pPr>
            <w:r>
              <w:rPr>
                <w:rFonts w:ascii="Times New Roman" w:cs="Times New Roman" w:eastAsia="Times New Roman" w:hAnsi="Times New Roman"/>
                <w:sz w:val="13"/>
                <w:szCs w:val="13"/>
                <w:color w:val="auto"/>
              </w:rPr>
              <w:t>($185,411: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520" w:type="dxa"/>
            <w:vAlign w:val="bottom"/>
            <w:gridSpan w:val="4"/>
            <w:vMerge w:val="restart"/>
          </w:tcPr>
          <w:p>
            <w:pPr>
              <w:ind w:left="40"/>
              <w:spacing w:after="0"/>
              <w:rPr>
                <w:sz w:val="20"/>
                <w:szCs w:val="20"/>
                <w:color w:val="auto"/>
              </w:rPr>
            </w:pPr>
            <w:r>
              <w:rPr>
                <w:rFonts w:ascii="Times New Roman" w:cs="Times New Roman" w:eastAsia="Times New Roman" w:hAnsi="Times New Roman"/>
                <w:sz w:val="13"/>
                <w:szCs w:val="13"/>
                <w:color w:val="auto"/>
              </w:rPr>
              <w:t>(xi) Issued in May 2024 maturing in May 2032 (the “2023 - LNG/C Assos Jolco”)</w:t>
            </w:r>
          </w:p>
        </w:tc>
        <w:tc>
          <w:tcPr>
            <w:tcW w:w="1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Margin +</w:t>
            </w:r>
          </w:p>
        </w:tc>
        <w:tc>
          <w:tcPr>
            <w:tcW w:w="0" w:type="dxa"/>
            <w:vAlign w:val="bottom"/>
          </w:tcPr>
          <w:p>
            <w:pPr>
              <w:spacing w:after="0"/>
              <w:rPr>
                <w:sz w:val="1"/>
                <w:szCs w:val="1"/>
                <w:color w:val="auto"/>
              </w:rPr>
            </w:pPr>
          </w:p>
        </w:tc>
      </w:tr>
      <w:tr>
        <w:trPr>
          <w:trHeight w:val="93"/>
        </w:trPr>
        <w:tc>
          <w:tcPr>
            <w:tcW w:w="7520" w:type="dxa"/>
            <w:vAlign w:val="bottom"/>
            <w:gridSpan w:val="4"/>
            <w:vMerge w:val="continue"/>
          </w:tcPr>
          <w:p>
            <w:pPr>
              <w:spacing w:after="0"/>
              <w:rPr>
                <w:sz w:val="8"/>
                <w:szCs w:val="8"/>
                <w:color w:val="auto"/>
              </w:rPr>
            </w:pPr>
          </w:p>
        </w:tc>
        <w:tc>
          <w:tcPr>
            <w:tcW w:w="1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auto"/>
              </w:rPr>
              <w:t>SOFR, $41,400:</w:t>
            </w:r>
          </w:p>
        </w:tc>
        <w:tc>
          <w:tcPr>
            <w:tcW w:w="0" w:type="dxa"/>
            <w:vAlign w:val="bottom"/>
          </w:tcPr>
          <w:p>
            <w:pPr>
              <w:spacing w:after="0"/>
              <w:rPr>
                <w:sz w:val="1"/>
                <w:szCs w:val="1"/>
                <w:color w:val="auto"/>
              </w:rPr>
            </w:pPr>
          </w:p>
        </w:tc>
      </w:tr>
      <w:tr>
        <w:trPr>
          <w:trHeight w:val="67"/>
        </w:trPr>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5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226,811</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236,079</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Fixed rate)</w:t>
            </w:r>
          </w:p>
        </w:tc>
        <w:tc>
          <w:tcPr>
            <w:tcW w:w="0" w:type="dxa"/>
            <w:vAlign w:val="bottom"/>
          </w:tcPr>
          <w:p>
            <w:pPr>
              <w:spacing w:after="0"/>
              <w:rPr>
                <w:sz w:val="1"/>
                <w:szCs w:val="1"/>
                <w:color w:val="auto"/>
              </w:rPr>
            </w:pPr>
          </w:p>
        </w:tc>
      </w:tr>
      <w:tr>
        <w:trPr>
          <w:trHeight w:val="147"/>
        </w:trPr>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5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jc w:val="center"/>
              <w:ind w:left="53"/>
              <w:spacing w:after="0" w:line="147" w:lineRule="exact"/>
              <w:rPr>
                <w:sz w:val="20"/>
                <w:szCs w:val="20"/>
                <w:color w:val="auto"/>
              </w:rPr>
            </w:pPr>
            <w:r>
              <w:rPr>
                <w:rFonts w:ascii="Times New Roman" w:cs="Times New Roman" w:eastAsia="Times New Roman" w:hAnsi="Times New Roman"/>
                <w:sz w:val="13"/>
                <w:szCs w:val="13"/>
                <w:color w:val="auto"/>
              </w:rPr>
              <w:t>($185,190: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52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(xii) Issued in July 2024 maturing in July 2032 (the “2024 - LNG/C Apostolos Jolco”)</w:t>
            </w:r>
          </w:p>
        </w:tc>
        <w:tc>
          <w:tcPr>
            <w:tcW w:w="1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Margin +</w:t>
            </w:r>
          </w:p>
        </w:tc>
        <w:tc>
          <w:tcPr>
            <w:tcW w:w="0" w:type="dxa"/>
            <w:vAlign w:val="bottom"/>
          </w:tcPr>
          <w:p>
            <w:pPr>
              <w:spacing w:after="0"/>
              <w:rPr>
                <w:sz w:val="1"/>
                <w:szCs w:val="1"/>
                <w:color w:val="auto"/>
              </w:rPr>
            </w:pPr>
          </w:p>
        </w:tc>
      </w:tr>
      <w:tr>
        <w:trPr>
          <w:trHeight w:val="93"/>
        </w:trPr>
        <w:tc>
          <w:tcPr>
            <w:tcW w:w="7520" w:type="dxa"/>
            <w:vAlign w:val="bottom"/>
            <w:gridSpan w:val="4"/>
            <w:vMerge w:val="continue"/>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9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SOFR, $41,400:</w:t>
            </w:r>
          </w:p>
        </w:tc>
        <w:tc>
          <w:tcPr>
            <w:tcW w:w="0" w:type="dxa"/>
            <w:vAlign w:val="bottom"/>
          </w:tcPr>
          <w:p>
            <w:pPr>
              <w:spacing w:after="0"/>
              <w:rPr>
                <w:sz w:val="1"/>
                <w:szCs w:val="1"/>
                <w:color w:val="auto"/>
              </w:rPr>
            </w:pPr>
          </w:p>
        </w:tc>
      </w:tr>
      <w:tr>
        <w:trPr>
          <w:trHeight w:val="67"/>
        </w:trPr>
        <w:tc>
          <w:tcPr>
            <w:tcW w:w="26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552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5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226,590</w:t>
            </w:r>
          </w:p>
        </w:tc>
        <w:tc>
          <w:tcPr>
            <w:tcW w:w="40" w:type="dxa"/>
            <w:vAlign w:val="bottom"/>
            <w:shd w:val="clear" w:color="auto" w:fill="CCEEFF"/>
          </w:tcPr>
          <w:p>
            <w:pPr>
              <w:spacing w:after="0"/>
              <w:rPr>
                <w:sz w:val="14"/>
                <w:szCs w:val="14"/>
                <w:color w:val="auto"/>
              </w:rPr>
            </w:pPr>
          </w:p>
        </w:tc>
        <w:tc>
          <w:tcPr>
            <w:tcW w:w="1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235,870</w:t>
            </w: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Fixed rate)</w:t>
            </w:r>
          </w:p>
        </w:tc>
        <w:tc>
          <w:tcPr>
            <w:tcW w:w="0" w:type="dxa"/>
            <w:vAlign w:val="bottom"/>
          </w:tcPr>
          <w:p>
            <w:pPr>
              <w:spacing w:after="0"/>
              <w:rPr>
                <w:sz w:val="1"/>
                <w:szCs w:val="1"/>
                <w:color w:val="auto"/>
              </w:rPr>
            </w:pPr>
          </w:p>
        </w:tc>
      </w:tr>
      <w:tr>
        <w:trPr>
          <w:trHeight w:val="160"/>
        </w:trPr>
        <w:tc>
          <w:tcPr>
            <w:tcW w:w="75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(xiii)Issued in August 2024 maturing in July 2031 (the “2024 Bocomm - LNG/C Attalos”)</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149,851</w:t>
            </w:r>
          </w:p>
        </w:tc>
        <w:tc>
          <w:tcPr>
            <w:tcW w:w="40" w:type="dxa"/>
            <w:vAlign w:val="bottom"/>
          </w:tcPr>
          <w:p>
            <w:pPr>
              <w:spacing w:after="0"/>
              <w:rPr>
                <w:sz w:val="13"/>
                <w:szCs w:val="13"/>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158,780</w:t>
            </w:r>
          </w:p>
        </w:tc>
        <w:tc>
          <w:tcPr>
            <w:tcW w:w="2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Margin + SOFR</w:t>
            </w:r>
          </w:p>
        </w:tc>
        <w:tc>
          <w:tcPr>
            <w:tcW w:w="0" w:type="dxa"/>
            <w:vAlign w:val="bottom"/>
          </w:tcPr>
          <w:p>
            <w:pPr>
              <w:spacing w:after="0"/>
              <w:rPr>
                <w:sz w:val="1"/>
                <w:szCs w:val="1"/>
                <w:color w:val="auto"/>
              </w:rPr>
            </w:pPr>
          </w:p>
        </w:tc>
      </w:tr>
      <w:tr>
        <w:trPr>
          <w:trHeight w:val="160"/>
        </w:trPr>
        <w:tc>
          <w:tcPr>
            <w:tcW w:w="7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(xiv)Issued in August 2024 maturing in July 2031 (the “2024 Bocomm - LNG/C Asklipios”)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149,851</w:t>
            </w:r>
          </w:p>
        </w:tc>
        <w:tc>
          <w:tcPr>
            <w:tcW w:w="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158,780</w:t>
            </w:r>
          </w:p>
        </w:tc>
        <w:tc>
          <w:tcPr>
            <w:tcW w:w="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Margin + SOFR</w:t>
            </w: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7260" w:type="dxa"/>
            <w:vAlign w:val="bottom"/>
            <w:gridSpan w:val="3"/>
          </w:tcPr>
          <w:p>
            <w:pPr>
              <w:spacing w:after="0" w:line="130" w:lineRule="exact"/>
              <w:rPr>
                <w:sz w:val="20"/>
                <w:szCs w:val="20"/>
                <w:color w:val="auto"/>
              </w:rPr>
            </w:pPr>
            <w:r>
              <w:rPr>
                <w:rFonts w:ascii="Times New Roman" w:cs="Times New Roman" w:eastAsia="Times New Roman" w:hAnsi="Times New Roman"/>
                <w:sz w:val="13"/>
                <w:szCs w:val="13"/>
                <w:b w:val="1"/>
                <w:bCs w:val="1"/>
                <w:i w:val="1"/>
                <w:iCs w:val="1"/>
                <w:color w:val="auto"/>
              </w:rPr>
              <w:t>Unsecured Bonds</w:t>
            </w:r>
          </w:p>
        </w:tc>
        <w:tc>
          <w:tcPr>
            <w:tcW w:w="1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5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(xv) Issued in October 2021 maturing in October 2026 (the “2021 Bonds”)</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175,911</w:t>
            </w:r>
          </w:p>
        </w:tc>
        <w:tc>
          <w:tcPr>
            <w:tcW w:w="1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156,136</w:t>
            </w: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Fixed rate</w:t>
            </w:r>
          </w:p>
        </w:tc>
        <w:tc>
          <w:tcPr>
            <w:tcW w:w="0" w:type="dxa"/>
            <w:vAlign w:val="bottom"/>
          </w:tcPr>
          <w:p>
            <w:pPr>
              <w:spacing w:after="0"/>
              <w:rPr>
                <w:sz w:val="1"/>
                <w:szCs w:val="1"/>
                <w:color w:val="auto"/>
              </w:rPr>
            </w:pPr>
          </w:p>
        </w:tc>
      </w:tr>
      <w:tr>
        <w:trPr>
          <w:trHeight w:val="160"/>
        </w:trPr>
        <w:tc>
          <w:tcPr>
            <w:tcW w:w="75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(xvi)Issued in July 2022 maturing in July 2029 (the “2022 Bonds”)</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117,275</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104,091</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Fixed rate</w:t>
            </w:r>
          </w:p>
        </w:tc>
        <w:tc>
          <w:tcPr>
            <w:tcW w:w="0" w:type="dxa"/>
            <w:vAlign w:val="bottom"/>
          </w:tcPr>
          <w:p>
            <w:pPr>
              <w:spacing w:after="0"/>
              <w:rPr>
                <w:sz w:val="1"/>
                <w:szCs w:val="1"/>
                <w:color w:val="auto"/>
              </w:rPr>
            </w:pPr>
          </w:p>
        </w:tc>
      </w:tr>
      <w:tr>
        <w:trPr>
          <w:trHeight w:val="150"/>
        </w:trPr>
        <w:tc>
          <w:tcPr>
            <w:tcW w:w="260" w:type="dxa"/>
            <w:vAlign w:val="bottom"/>
            <w:tcBorders>
              <w:top w:val="single" w:sz="8" w:color="CCEEFF"/>
            </w:tcBorders>
            <w:shd w:val="clear" w:color="auto" w:fill="CCEEFF"/>
          </w:tcPr>
          <w:p>
            <w:pPr>
              <w:spacing w:after="0"/>
              <w:rPr>
                <w:sz w:val="13"/>
                <w:szCs w:val="13"/>
                <w:color w:val="auto"/>
              </w:rPr>
            </w:pPr>
          </w:p>
        </w:tc>
        <w:tc>
          <w:tcPr>
            <w:tcW w:w="72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long-term debt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2,369,880</w:t>
            </w:r>
          </w:p>
        </w:tc>
        <w:tc>
          <w:tcPr>
            <w:tcW w:w="4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2,413,335</w:t>
            </w:r>
          </w:p>
        </w:tc>
        <w:tc>
          <w:tcPr>
            <w:tcW w:w="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60" w:type="dxa"/>
            <w:vAlign w:val="bottom"/>
            <w:tcBorders>
              <w:bottom w:val="single" w:sz="8" w:color="CCEEFF"/>
            </w:tcBorders>
          </w:tcPr>
          <w:p>
            <w:pPr>
              <w:spacing w:after="0"/>
              <w:rPr>
                <w:sz w:val="13"/>
                <w:szCs w:val="13"/>
                <w:color w:val="auto"/>
              </w:rPr>
            </w:pPr>
          </w:p>
        </w:tc>
        <w:tc>
          <w:tcPr>
            <w:tcW w:w="72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3"/>
                <w:szCs w:val="13"/>
                <w:color w:val="auto"/>
              </w:rPr>
              <w:t>Less: Deferred financing costs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15,543</w:t>
            </w:r>
          </w:p>
        </w:tc>
        <w:tc>
          <w:tcPr>
            <w:tcW w:w="4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18,252</w:t>
            </w:r>
          </w:p>
        </w:tc>
        <w:tc>
          <w:tcPr>
            <w:tcW w:w="2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60" w:type="dxa"/>
            <w:vAlign w:val="bottom"/>
            <w:shd w:val="clear" w:color="auto" w:fill="CCEEFF"/>
          </w:tcPr>
          <w:p>
            <w:pPr>
              <w:spacing w:after="0"/>
              <w:rPr>
                <w:sz w:val="13"/>
                <w:szCs w:val="13"/>
                <w:color w:val="auto"/>
              </w:rPr>
            </w:pPr>
          </w:p>
        </w:tc>
        <w:tc>
          <w:tcPr>
            <w:tcW w:w="7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long-term debt, net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2,354,337</w:t>
            </w:r>
          </w:p>
        </w:tc>
        <w:tc>
          <w:tcPr>
            <w:tcW w:w="40" w:type="dxa"/>
            <w:vAlign w:val="bottom"/>
            <w:shd w:val="clear" w:color="auto" w:fill="CCEEFF"/>
          </w:tcPr>
          <w:p>
            <w:pPr>
              <w:spacing w:after="0"/>
              <w:rPr>
                <w:sz w:val="13"/>
                <w:szCs w:val="13"/>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2,395,083</w:t>
            </w:r>
          </w:p>
        </w:tc>
        <w:tc>
          <w:tcPr>
            <w:tcW w:w="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60" w:type="dxa"/>
            <w:vAlign w:val="bottom"/>
            <w:tcBorders>
              <w:bottom w:val="single" w:sz="8" w:color="CCEEFF"/>
            </w:tcBorders>
          </w:tcPr>
          <w:p>
            <w:pPr>
              <w:spacing w:after="0"/>
              <w:rPr>
                <w:sz w:val="13"/>
                <w:szCs w:val="13"/>
                <w:color w:val="auto"/>
              </w:rPr>
            </w:pPr>
          </w:p>
        </w:tc>
        <w:tc>
          <w:tcPr>
            <w:tcW w:w="72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3"/>
                <w:szCs w:val="13"/>
                <w:color w:val="auto"/>
              </w:rPr>
              <w:t>Less: Current portion of long-term debt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124,779</w:t>
            </w:r>
          </w:p>
        </w:tc>
        <w:tc>
          <w:tcPr>
            <w:tcW w:w="4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120,869</w:t>
            </w:r>
          </w:p>
        </w:tc>
        <w:tc>
          <w:tcPr>
            <w:tcW w:w="2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60" w:type="dxa"/>
            <w:vAlign w:val="bottom"/>
            <w:shd w:val="clear" w:color="auto" w:fill="CCEEFF"/>
          </w:tcPr>
          <w:p>
            <w:pPr>
              <w:spacing w:after="0"/>
              <w:rPr>
                <w:sz w:val="13"/>
                <w:szCs w:val="13"/>
                <w:color w:val="auto"/>
              </w:rPr>
            </w:pPr>
          </w:p>
        </w:tc>
        <w:tc>
          <w:tcPr>
            <w:tcW w:w="7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Add: Current portion of deferred financing costs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2,635</w:t>
            </w:r>
          </w:p>
        </w:tc>
        <w:tc>
          <w:tcPr>
            <w:tcW w:w="40" w:type="dxa"/>
            <w:vAlign w:val="bottom"/>
            <w:shd w:val="clear" w:color="auto" w:fill="CCEEFF"/>
          </w:tcPr>
          <w:p>
            <w:pPr>
              <w:spacing w:after="0"/>
              <w:rPr>
                <w:sz w:val="13"/>
                <w:szCs w:val="13"/>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3,743</w:t>
            </w:r>
          </w:p>
        </w:tc>
        <w:tc>
          <w:tcPr>
            <w:tcW w:w="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72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Long-term debt, net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2,232,193</w:t>
            </w:r>
          </w:p>
        </w:tc>
        <w:tc>
          <w:tcPr>
            <w:tcW w:w="40" w:type="dxa"/>
            <w:vAlign w:val="bottom"/>
          </w:tcPr>
          <w:p>
            <w:pPr>
              <w:spacing w:after="0"/>
              <w:rPr>
                <w:sz w:val="13"/>
                <w:szCs w:val="13"/>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2,277,957</w:t>
            </w:r>
          </w:p>
        </w:tc>
        <w:tc>
          <w:tcPr>
            <w:tcW w:w="20" w:type="dxa"/>
            <w:vAlign w:val="bottom"/>
            <w:tcBorders>
              <w:bottom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9"/>
        </w:trPr>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520" w:type="dxa"/>
            <w:vAlign w:val="bottom"/>
          </w:tcPr>
          <w:p>
            <w:pPr>
              <w:ind w:left="3520"/>
              <w:spacing w:after="0"/>
              <w:rPr>
                <w:sz w:val="20"/>
                <w:szCs w:val="20"/>
                <w:color w:val="auto"/>
              </w:rPr>
            </w:pPr>
            <w:r>
              <w:rPr>
                <w:rFonts w:ascii="Times New Roman" w:cs="Times New Roman" w:eastAsia="Times New Roman" w:hAnsi="Times New Roman"/>
                <w:sz w:val="13"/>
                <w:szCs w:val="13"/>
                <w:color w:val="auto"/>
              </w:rPr>
              <w:t>F- 21</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3"/>
                <w:szCs w:val="13"/>
                <w:color w:val="0000EE"/>
              </w:rPr>
              <w:t>Table of Contents</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300" w:top="205" w:right="2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3"/>
          <w:szCs w:val="13"/>
          <w:b w:val="1"/>
          <w:bCs w:val="1"/>
          <w:color w:val="auto"/>
        </w:rPr>
        <w:t>Capital Clean Energy Carriers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United States Dollars, unless otherwise specified)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8. Long-Term Debt - Continued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Changes in the financing arrangements for the years 2025 and 2024 are as follows: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auto"/>
        </w:rPr>
        <w:t>For the year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On September 30, 2025, the vessel-owning companies of two LCO2 – HMG/Cs under construction (Note 1, 6B), entered into a new credit facility, the “2025 – LCO2 – HMG/Cs Active, Alkimos credit facility”.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 is acting as a parent guarantor. On December 30, 2025 the Company drew down the amount of $44,454 as part of the Tranche A of the loan. On January 5, 2026, upon the delivery of the LCO2 –</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HMG/Cs Active (Note 18), the Company drew down the remaining amount of the Tranche A of $4,410.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presents an analysis of the main terms of the credit facility:</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Financing</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Quarterly</w:t>
            </w: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vMerge w:val="restart"/>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Balloon if long-</w:t>
            </w: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if long-</w:t>
            </w: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Instalment if</w:t>
            </w: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Financing</w:t>
            </w:r>
          </w:p>
        </w:tc>
        <w:tc>
          <w:tcPr>
            <w:tcW w:w="2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Quarterly</w:t>
            </w: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vMerge w:val="restart"/>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7"/>
              </w:rPr>
              <w:t>term</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Duration in</w:t>
            </w: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Vessel</w:t>
            </w:r>
          </w:p>
        </w:tc>
        <w:tc>
          <w:tcPr>
            <w:tcW w:w="2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term</w:t>
            </w: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long-term</w:t>
            </w:r>
          </w:p>
        </w:tc>
        <w:tc>
          <w:tcPr>
            <w:tcW w:w="360" w:type="dxa"/>
            <w:vAlign w:val="bottom"/>
          </w:tcPr>
          <w:p>
            <w:pPr>
              <w:spacing w:after="0"/>
              <w:rPr>
                <w:sz w:val="6"/>
                <w:szCs w:val="6"/>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Balloon</w:t>
            </w:r>
          </w:p>
        </w:tc>
        <w:tc>
          <w:tcPr>
            <w:tcW w:w="3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200" w:type="dxa"/>
            <w:vAlign w:val="bottom"/>
            <w:vMerge w:val="restart"/>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Purpose</w:t>
            </w:r>
          </w:p>
        </w:tc>
        <w:tc>
          <w:tcPr>
            <w:tcW w:w="0" w:type="dxa"/>
            <w:vAlign w:val="bottom"/>
          </w:tcPr>
          <w:p>
            <w:pPr>
              <w:spacing w:after="0"/>
              <w:rPr>
                <w:sz w:val="1"/>
                <w:szCs w:val="1"/>
                <w:color w:val="auto"/>
              </w:rPr>
            </w:pPr>
          </w:p>
        </w:tc>
      </w:tr>
      <w:tr>
        <w:trPr>
          <w:trHeight w:val="80"/>
        </w:trPr>
        <w:tc>
          <w:tcPr>
            <w:tcW w:w="15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Instalment</w:t>
            </w: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vMerge w:val="restart"/>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employment</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years</w:t>
            </w: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employment</w:t>
            </w: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employment</w:t>
            </w: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vMerge w:val="restart"/>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8"/>
              </w:rPr>
              <w:t>secured</w:t>
            </w: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secured</w:t>
            </w: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secured</w:t>
            </w: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15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560" w:type="dxa"/>
            <w:vAlign w:val="bottom"/>
            <w:shd w:val="clear" w:color="auto" w:fill="CCECFF"/>
          </w:tcPr>
          <w:p>
            <w:pPr>
              <w:jc w:val="center"/>
              <w:spacing w:after="0" w:line="137" w:lineRule="exact"/>
              <w:rPr>
                <w:sz w:val="20"/>
                <w:szCs w:val="20"/>
                <w:color w:val="auto"/>
              </w:rPr>
            </w:pPr>
            <w:r>
              <w:rPr>
                <w:rFonts w:ascii="Times New Roman" w:cs="Times New Roman" w:eastAsia="Times New Roman" w:hAnsi="Times New Roman"/>
                <w:sz w:val="13"/>
                <w:szCs w:val="13"/>
                <w:color w:val="auto"/>
              </w:rPr>
              <w:t>LCO2 – HMG/C</w:t>
            </w: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104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c>
          <w:tcPr>
            <w:tcW w:w="36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12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1200" w:type="dxa"/>
            <w:vAlign w:val="bottom"/>
            <w:shd w:val="clear" w:color="auto" w:fill="CCECFF"/>
          </w:tcPr>
          <w:p>
            <w:pPr>
              <w:jc w:val="center"/>
              <w:ind w:left="33"/>
              <w:spacing w:after="0" w:line="137" w:lineRule="exact"/>
              <w:rPr>
                <w:sz w:val="20"/>
                <w:szCs w:val="20"/>
                <w:color w:val="auto"/>
              </w:rPr>
            </w:pPr>
            <w:r>
              <w:rPr>
                <w:rFonts w:ascii="Times New Roman" w:cs="Times New Roman" w:eastAsia="Times New Roman" w:hAnsi="Times New Roman"/>
                <w:sz w:val="13"/>
                <w:szCs w:val="13"/>
                <w:color w:val="auto"/>
              </w:rPr>
              <w:t>partially financing</w:t>
            </w:r>
          </w:p>
        </w:tc>
        <w:tc>
          <w:tcPr>
            <w:tcW w:w="0" w:type="dxa"/>
            <w:vAlign w:val="bottom"/>
          </w:tcPr>
          <w:p>
            <w:pPr>
              <w:spacing w:after="0"/>
              <w:rPr>
                <w:sz w:val="1"/>
                <w:szCs w:val="1"/>
                <w:color w:val="auto"/>
              </w:rPr>
            </w:pPr>
          </w:p>
        </w:tc>
      </w:tr>
      <w:tr>
        <w:trPr>
          <w:trHeight w:val="160"/>
        </w:trPr>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Active</w:t>
            </w:r>
          </w:p>
        </w:tc>
        <w:tc>
          <w:tcPr>
            <w:tcW w:w="280" w:type="dxa"/>
            <w:vAlign w:val="bottom"/>
            <w:shd w:val="clear" w:color="auto" w:fill="CCECFF"/>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101,702</w:t>
            </w:r>
          </w:p>
        </w:tc>
        <w:tc>
          <w:tcPr>
            <w:tcW w:w="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117,349</w:t>
            </w:r>
          </w:p>
        </w:tc>
        <w:tc>
          <w:tcPr>
            <w:tcW w:w="260" w:type="dxa"/>
            <w:vAlign w:val="bottom"/>
            <w:shd w:val="clear" w:color="auto" w:fill="CCEC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1,338</w:t>
            </w:r>
          </w:p>
        </w:tc>
        <w:tc>
          <w:tcPr>
            <w:tcW w:w="320" w:type="dxa"/>
            <w:vAlign w:val="bottom"/>
            <w:shd w:val="clear" w:color="auto" w:fill="CCEC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1,544</w:t>
            </w:r>
          </w:p>
        </w:tc>
        <w:tc>
          <w:tcPr>
            <w:tcW w:w="360" w:type="dxa"/>
            <w:vAlign w:val="bottom"/>
            <w:shd w:val="clear" w:color="auto" w:fill="CCECFF"/>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CFF"/>
          </w:tcPr>
          <w:p>
            <w:pPr>
              <w:jc w:val="right"/>
              <w:ind w:right="153"/>
              <w:spacing w:after="0"/>
              <w:rPr>
                <w:sz w:val="20"/>
                <w:szCs w:val="20"/>
                <w:color w:val="auto"/>
              </w:rPr>
            </w:pPr>
            <w:r>
              <w:rPr>
                <w:rFonts w:ascii="Times New Roman" w:cs="Times New Roman" w:eastAsia="Times New Roman" w:hAnsi="Times New Roman"/>
                <w:sz w:val="13"/>
                <w:szCs w:val="13"/>
                <w:color w:val="auto"/>
              </w:rPr>
              <w:t>37,469</w:t>
            </w:r>
          </w:p>
        </w:tc>
        <w:tc>
          <w:tcPr>
            <w:tcW w:w="320" w:type="dxa"/>
            <w:vAlign w:val="bottom"/>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CFF"/>
          </w:tcPr>
          <w:p>
            <w:pPr>
              <w:jc w:val="center"/>
              <w:ind w:right="33"/>
              <w:spacing w:after="0"/>
              <w:rPr>
                <w:sz w:val="20"/>
                <w:szCs w:val="20"/>
                <w:color w:val="auto"/>
              </w:rPr>
            </w:pPr>
            <w:r>
              <w:rPr>
                <w:rFonts w:ascii="Times New Roman" w:cs="Times New Roman" w:eastAsia="Times New Roman" w:hAnsi="Times New Roman"/>
                <w:sz w:val="13"/>
                <w:szCs w:val="13"/>
                <w:color w:val="auto"/>
              </w:rPr>
              <w:t>43,234</w:t>
            </w:r>
          </w:p>
        </w:tc>
        <w:tc>
          <w:tcPr>
            <w:tcW w:w="1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1200" w:type="dxa"/>
            <w:vAlign w:val="bottom"/>
            <w:shd w:val="clear" w:color="auto" w:fill="CCECFF"/>
          </w:tcPr>
          <w:p>
            <w:pPr>
              <w:jc w:val="center"/>
              <w:ind w:left="13"/>
              <w:spacing w:after="0"/>
              <w:rPr>
                <w:sz w:val="20"/>
                <w:szCs w:val="20"/>
                <w:color w:val="auto"/>
              </w:rPr>
            </w:pPr>
            <w:r>
              <w:rPr>
                <w:rFonts w:ascii="Times New Roman" w:cs="Times New Roman" w:eastAsia="Times New Roman" w:hAnsi="Times New Roman"/>
                <w:sz w:val="13"/>
                <w:szCs w:val="13"/>
                <w:color w:val="auto"/>
              </w:rPr>
              <w:t>the delivery from</w:t>
            </w:r>
          </w:p>
        </w:tc>
        <w:tc>
          <w:tcPr>
            <w:tcW w:w="0" w:type="dxa"/>
            <w:vAlign w:val="bottom"/>
          </w:tcPr>
          <w:p>
            <w:pPr>
              <w:spacing w:after="0"/>
              <w:rPr>
                <w:sz w:val="1"/>
                <w:szCs w:val="1"/>
                <w:color w:val="auto"/>
              </w:rPr>
            </w:pPr>
          </w:p>
        </w:tc>
      </w:tr>
      <w:tr>
        <w:trPr>
          <w:trHeight w:val="173"/>
        </w:trPr>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LCO2 – HMG/C Alkimos</w:t>
            </w:r>
          </w:p>
        </w:tc>
        <w:tc>
          <w:tcPr>
            <w:tcW w:w="280" w:type="dxa"/>
            <w:vAlign w:val="bottom"/>
            <w:shd w:val="clear" w:color="auto" w:fill="CCECFF"/>
          </w:tcPr>
          <w:p>
            <w:pPr>
              <w:spacing w:after="0"/>
              <w:rPr>
                <w:sz w:val="15"/>
                <w:szCs w:val="15"/>
                <w:color w:val="auto"/>
              </w:rPr>
            </w:pPr>
          </w:p>
        </w:tc>
        <w:tc>
          <w:tcPr>
            <w:tcW w:w="88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12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1200" w:type="dxa"/>
            <w:vAlign w:val="bottom"/>
            <w:shd w:val="clear" w:color="auto" w:fill="CCECFF"/>
          </w:tcPr>
          <w:p>
            <w:pPr>
              <w:jc w:val="center"/>
              <w:ind w:left="33"/>
              <w:spacing w:after="0"/>
              <w:rPr>
                <w:sz w:val="20"/>
                <w:szCs w:val="20"/>
                <w:color w:val="auto"/>
              </w:rPr>
            </w:pPr>
            <w:r>
              <w:rPr>
                <w:rFonts w:ascii="Times New Roman" w:cs="Times New Roman" w:eastAsia="Times New Roman" w:hAnsi="Times New Roman"/>
                <w:sz w:val="13"/>
                <w:szCs w:val="13"/>
                <w:color w:val="auto"/>
              </w:rPr>
              <w:t>the shipyard</w:t>
            </w:r>
          </w:p>
        </w:tc>
        <w:tc>
          <w:tcPr>
            <w:tcW w:w="0" w:type="dxa"/>
            <w:vAlign w:val="bottom"/>
          </w:tcPr>
          <w:p>
            <w:pPr>
              <w:spacing w:after="0"/>
              <w:rPr>
                <w:sz w:val="1"/>
                <w:szCs w:val="1"/>
                <w:color w:val="auto"/>
              </w:rPr>
            </w:pPr>
          </w:p>
        </w:tc>
      </w:tr>
      <w:tr>
        <w:trPr>
          <w:trHeight w:val="100"/>
        </w:trPr>
        <w:tc>
          <w:tcPr>
            <w:tcW w:w="1560" w:type="dxa"/>
            <w:vAlign w:val="bottom"/>
            <w:shd w:val="clear" w:color="auto" w:fill="CCECFF"/>
          </w:tcPr>
          <w:p>
            <w:pPr>
              <w:spacing w:after="0"/>
              <w:rPr>
                <w:sz w:val="8"/>
                <w:szCs w:val="8"/>
                <w:color w:val="auto"/>
              </w:rPr>
            </w:pPr>
          </w:p>
        </w:tc>
        <w:tc>
          <w:tcPr>
            <w:tcW w:w="280" w:type="dxa"/>
            <w:vAlign w:val="bottom"/>
            <w:shd w:val="clear" w:color="auto" w:fill="CCECFF"/>
          </w:tcPr>
          <w:p>
            <w:pPr>
              <w:spacing w:after="0"/>
              <w:rPr>
                <w:sz w:val="8"/>
                <w:szCs w:val="8"/>
                <w:color w:val="auto"/>
              </w:rPr>
            </w:pPr>
          </w:p>
        </w:tc>
        <w:tc>
          <w:tcPr>
            <w:tcW w:w="880" w:type="dxa"/>
            <w:vAlign w:val="bottom"/>
            <w:shd w:val="clear" w:color="auto" w:fill="CCECFF"/>
          </w:tcPr>
          <w:p>
            <w:pPr>
              <w:spacing w:after="0"/>
              <w:rPr>
                <w:sz w:val="8"/>
                <w:szCs w:val="8"/>
                <w:color w:val="auto"/>
              </w:rPr>
            </w:pPr>
          </w:p>
        </w:tc>
        <w:tc>
          <w:tcPr>
            <w:tcW w:w="280" w:type="dxa"/>
            <w:vAlign w:val="bottom"/>
            <w:shd w:val="clear" w:color="auto" w:fill="CCECFF"/>
          </w:tcPr>
          <w:p>
            <w:pPr>
              <w:spacing w:after="0"/>
              <w:rPr>
                <w:sz w:val="8"/>
                <w:szCs w:val="8"/>
                <w:color w:val="auto"/>
              </w:rPr>
            </w:pPr>
          </w:p>
        </w:tc>
        <w:tc>
          <w:tcPr>
            <w:tcW w:w="1040" w:type="dxa"/>
            <w:vAlign w:val="bottom"/>
            <w:shd w:val="clear" w:color="auto" w:fill="CCECFF"/>
          </w:tcPr>
          <w:p>
            <w:pPr>
              <w:spacing w:after="0"/>
              <w:rPr>
                <w:sz w:val="8"/>
                <w:szCs w:val="8"/>
                <w:color w:val="auto"/>
              </w:rPr>
            </w:pPr>
          </w:p>
        </w:tc>
        <w:tc>
          <w:tcPr>
            <w:tcW w:w="260" w:type="dxa"/>
            <w:vAlign w:val="bottom"/>
            <w:shd w:val="clear" w:color="auto" w:fill="CCECFF"/>
          </w:tcPr>
          <w:p>
            <w:pPr>
              <w:spacing w:after="0"/>
              <w:rPr>
                <w:sz w:val="8"/>
                <w:szCs w:val="8"/>
                <w:color w:val="auto"/>
              </w:rPr>
            </w:pPr>
          </w:p>
        </w:tc>
        <w:tc>
          <w:tcPr>
            <w:tcW w:w="900" w:type="dxa"/>
            <w:vAlign w:val="bottom"/>
            <w:shd w:val="clear" w:color="auto" w:fill="CCECFF"/>
          </w:tcPr>
          <w:p>
            <w:pPr>
              <w:spacing w:after="0"/>
              <w:rPr>
                <w:sz w:val="8"/>
                <w:szCs w:val="8"/>
                <w:color w:val="auto"/>
              </w:rPr>
            </w:pPr>
          </w:p>
        </w:tc>
        <w:tc>
          <w:tcPr>
            <w:tcW w:w="320" w:type="dxa"/>
            <w:vAlign w:val="bottom"/>
            <w:shd w:val="clear" w:color="auto" w:fill="CCECFF"/>
          </w:tcPr>
          <w:p>
            <w:pPr>
              <w:spacing w:after="0"/>
              <w:rPr>
                <w:sz w:val="8"/>
                <w:szCs w:val="8"/>
                <w:color w:val="auto"/>
              </w:rPr>
            </w:pPr>
          </w:p>
        </w:tc>
        <w:tc>
          <w:tcPr>
            <w:tcW w:w="940" w:type="dxa"/>
            <w:vAlign w:val="bottom"/>
            <w:shd w:val="clear" w:color="auto" w:fill="CCECFF"/>
          </w:tcPr>
          <w:p>
            <w:pPr>
              <w:spacing w:after="0"/>
              <w:rPr>
                <w:sz w:val="8"/>
                <w:szCs w:val="8"/>
                <w:color w:val="auto"/>
              </w:rPr>
            </w:pPr>
          </w:p>
        </w:tc>
        <w:tc>
          <w:tcPr>
            <w:tcW w:w="360" w:type="dxa"/>
            <w:vAlign w:val="bottom"/>
            <w:shd w:val="clear" w:color="auto" w:fill="CCECFF"/>
          </w:tcPr>
          <w:p>
            <w:pPr>
              <w:spacing w:after="0"/>
              <w:rPr>
                <w:sz w:val="8"/>
                <w:szCs w:val="8"/>
                <w:color w:val="auto"/>
              </w:rPr>
            </w:pPr>
          </w:p>
        </w:tc>
        <w:tc>
          <w:tcPr>
            <w:tcW w:w="820" w:type="dxa"/>
            <w:vAlign w:val="bottom"/>
            <w:shd w:val="clear" w:color="auto" w:fill="CCECFF"/>
          </w:tcPr>
          <w:p>
            <w:pPr>
              <w:spacing w:after="0"/>
              <w:rPr>
                <w:sz w:val="8"/>
                <w:szCs w:val="8"/>
                <w:color w:val="auto"/>
              </w:rPr>
            </w:pPr>
          </w:p>
        </w:tc>
        <w:tc>
          <w:tcPr>
            <w:tcW w:w="320" w:type="dxa"/>
            <w:vAlign w:val="bottom"/>
            <w:shd w:val="clear" w:color="auto" w:fill="CCECFF"/>
          </w:tcPr>
          <w:p>
            <w:pPr>
              <w:spacing w:after="0"/>
              <w:rPr>
                <w:sz w:val="8"/>
                <w:szCs w:val="8"/>
                <w:color w:val="auto"/>
              </w:rPr>
            </w:pPr>
          </w:p>
        </w:tc>
        <w:tc>
          <w:tcPr>
            <w:tcW w:w="1120" w:type="dxa"/>
            <w:vAlign w:val="bottom"/>
            <w:shd w:val="clear" w:color="auto" w:fill="CCECFF"/>
          </w:tcPr>
          <w:p>
            <w:pPr>
              <w:spacing w:after="0"/>
              <w:rPr>
                <w:sz w:val="8"/>
                <w:szCs w:val="8"/>
                <w:color w:val="auto"/>
              </w:rPr>
            </w:pPr>
          </w:p>
        </w:tc>
        <w:tc>
          <w:tcPr>
            <w:tcW w:w="1000" w:type="dxa"/>
            <w:vAlign w:val="bottom"/>
            <w:shd w:val="clear" w:color="auto" w:fill="CCECFF"/>
          </w:tcPr>
          <w:p>
            <w:pPr>
              <w:spacing w:after="0"/>
              <w:rPr>
                <w:sz w:val="8"/>
                <w:szCs w:val="8"/>
                <w:color w:val="auto"/>
              </w:rPr>
            </w:pPr>
          </w:p>
        </w:tc>
        <w:tc>
          <w:tcPr>
            <w:tcW w:w="12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On August 13, 2025, the vessel-owning companies of six MG/Cs currently under construction (Note 1, 6B), entered into six separate sale and lease back agreements with subsidiaries of the CMB Financial Leasing Co., Ltd (“CMBFL”), the “2025 CMBFL - MG/C”. The Company is acting as a parent guarantor. The following table presents an analysis of the main terms of the sale and leaseback agreements: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Financing</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Quarterly</w:t>
            </w: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Purchase</w:t>
            </w: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Financing</w:t>
            </w:r>
          </w:p>
        </w:tc>
        <w:tc>
          <w:tcPr>
            <w:tcW w:w="2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if long-</w:t>
            </w:r>
          </w:p>
        </w:tc>
        <w:tc>
          <w:tcPr>
            <w:tcW w:w="26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Quarterly</w:t>
            </w:r>
          </w:p>
        </w:tc>
        <w:tc>
          <w:tcPr>
            <w:tcW w:w="3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Instalment if</w:t>
            </w:r>
          </w:p>
        </w:tc>
        <w:tc>
          <w:tcPr>
            <w:tcW w:w="32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Purchase</w:t>
            </w:r>
          </w:p>
        </w:tc>
        <w:tc>
          <w:tcPr>
            <w:tcW w:w="320" w:type="dxa"/>
            <w:vAlign w:val="bottom"/>
          </w:tcPr>
          <w:p>
            <w:pPr>
              <w:spacing w:after="0"/>
              <w:rPr>
                <w:sz w:val="13"/>
                <w:szCs w:val="13"/>
                <w:color w:val="auto"/>
              </w:rPr>
            </w:pPr>
          </w:p>
        </w:tc>
        <w:tc>
          <w:tcPr>
            <w:tcW w:w="104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Obligation if</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Duration in</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60" w:type="dxa"/>
            <w:vAlign w:val="bottom"/>
            <w:vMerge w:val="restart"/>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w w:val="97"/>
              </w:rPr>
              <w:t>Vessel</w:t>
            </w:r>
          </w:p>
        </w:tc>
        <w:tc>
          <w:tcPr>
            <w:tcW w:w="3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term</w:t>
            </w: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long-term</w:t>
            </w:r>
          </w:p>
        </w:tc>
        <w:tc>
          <w:tcPr>
            <w:tcW w:w="3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restart"/>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long-term</w:t>
            </w:r>
          </w:p>
        </w:tc>
        <w:tc>
          <w:tcPr>
            <w:tcW w:w="1040" w:type="dxa"/>
            <w:vAlign w:val="bottom"/>
            <w:vMerge w:val="continue"/>
          </w:tcPr>
          <w:p>
            <w:pPr>
              <w:spacing w:after="0"/>
              <w:rPr>
                <w:sz w:val="6"/>
                <w:szCs w:val="6"/>
                <w:color w:val="auto"/>
              </w:rPr>
            </w:pPr>
          </w:p>
        </w:tc>
        <w:tc>
          <w:tcPr>
            <w:tcW w:w="1200" w:type="dxa"/>
            <w:vAlign w:val="bottom"/>
            <w:vMerge w:val="restart"/>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Purpose</w:t>
            </w:r>
          </w:p>
        </w:tc>
        <w:tc>
          <w:tcPr>
            <w:tcW w:w="0" w:type="dxa"/>
            <w:vAlign w:val="bottom"/>
          </w:tcPr>
          <w:p>
            <w:pPr>
              <w:spacing w:after="0"/>
              <w:rPr>
                <w:sz w:val="1"/>
                <w:szCs w:val="1"/>
                <w:color w:val="auto"/>
              </w:rPr>
            </w:pPr>
          </w:p>
        </w:tc>
      </w:tr>
      <w:tr>
        <w:trPr>
          <w:trHeight w:val="80"/>
        </w:trPr>
        <w:tc>
          <w:tcPr>
            <w:tcW w:w="146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Instalment</w:t>
            </w: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Obligation</w:t>
            </w:r>
          </w:p>
        </w:tc>
        <w:tc>
          <w:tcPr>
            <w:tcW w:w="3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years</w:t>
            </w: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employment</w:t>
            </w:r>
          </w:p>
        </w:tc>
        <w:tc>
          <w:tcPr>
            <w:tcW w:w="2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employment</w:t>
            </w:r>
          </w:p>
        </w:tc>
        <w:tc>
          <w:tcPr>
            <w:tcW w:w="3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vMerge w:val="restart"/>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employment</w:t>
            </w:r>
          </w:p>
        </w:tc>
        <w:tc>
          <w:tcPr>
            <w:tcW w:w="104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1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9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secured</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secured</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8"/>
              </w:rPr>
              <w:t>secured</w:t>
            </w: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4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460" w:type="dxa"/>
            <w:vAlign w:val="bottom"/>
            <w:shd w:val="clear" w:color="auto" w:fill="CCECFF"/>
          </w:tcPr>
          <w:p>
            <w:pPr>
              <w:spacing w:after="0"/>
              <w:rPr>
                <w:sz w:val="11"/>
                <w:szCs w:val="11"/>
                <w:color w:val="auto"/>
              </w:rPr>
            </w:pPr>
          </w:p>
        </w:tc>
        <w:tc>
          <w:tcPr>
            <w:tcW w:w="3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104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040" w:type="dxa"/>
            <w:vAlign w:val="bottom"/>
            <w:shd w:val="clear" w:color="auto" w:fill="CCECFF"/>
          </w:tcPr>
          <w:p>
            <w:pPr>
              <w:spacing w:after="0"/>
              <w:rPr>
                <w:sz w:val="11"/>
                <w:szCs w:val="11"/>
                <w:color w:val="auto"/>
              </w:rPr>
            </w:pPr>
          </w:p>
        </w:tc>
        <w:tc>
          <w:tcPr>
            <w:tcW w:w="104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1"/>
              </w:rPr>
              <w:t>7</w:t>
            </w:r>
          </w:p>
        </w:tc>
        <w:tc>
          <w:tcPr>
            <w:tcW w:w="1200" w:type="dxa"/>
            <w:vAlign w:val="bottom"/>
            <w:shd w:val="clear" w:color="auto" w:fill="CCECFF"/>
          </w:tcPr>
          <w:p>
            <w:pPr>
              <w:jc w:val="center"/>
              <w:ind w:left="33"/>
              <w:spacing w:after="0" w:line="137" w:lineRule="exact"/>
              <w:rPr>
                <w:sz w:val="20"/>
                <w:szCs w:val="20"/>
                <w:color w:val="auto"/>
              </w:rPr>
            </w:pPr>
            <w:r>
              <w:rPr>
                <w:rFonts w:ascii="Times New Roman" w:cs="Times New Roman" w:eastAsia="Times New Roman" w:hAnsi="Times New Roman"/>
                <w:sz w:val="13"/>
                <w:szCs w:val="13"/>
                <w:color w:val="auto"/>
              </w:rPr>
              <w:t>partially financing</w:t>
            </w:r>
          </w:p>
        </w:tc>
        <w:tc>
          <w:tcPr>
            <w:tcW w:w="0" w:type="dxa"/>
            <w:vAlign w:val="bottom"/>
          </w:tcPr>
          <w:p>
            <w:pPr>
              <w:spacing w:after="0"/>
              <w:rPr>
                <w:sz w:val="1"/>
                <w:szCs w:val="1"/>
                <w:color w:val="auto"/>
              </w:rPr>
            </w:pPr>
          </w:p>
        </w:tc>
      </w:tr>
      <w:tr>
        <w:trPr>
          <w:trHeight w:val="93"/>
        </w:trPr>
        <w:tc>
          <w:tcPr>
            <w:tcW w:w="1460" w:type="dxa"/>
            <w:vAlign w:val="bottom"/>
            <w:vMerge w:val="restart"/>
            <w:shd w:val="clear" w:color="auto" w:fill="CCECFF"/>
          </w:tcPr>
          <w:p>
            <w:pPr>
              <w:jc w:val="center"/>
              <w:ind w:left="53"/>
              <w:spacing w:after="0"/>
              <w:rPr>
                <w:sz w:val="20"/>
                <w:szCs w:val="20"/>
                <w:color w:val="auto"/>
              </w:rPr>
            </w:pPr>
            <w:r>
              <w:rPr>
                <w:rFonts w:ascii="Times New Roman" w:cs="Times New Roman" w:eastAsia="Times New Roman" w:hAnsi="Times New Roman"/>
                <w:sz w:val="13"/>
                <w:szCs w:val="13"/>
                <w:color w:val="auto"/>
              </w:rPr>
              <w:t>MG/C Aristogenis</w:t>
            </w:r>
          </w:p>
        </w:tc>
        <w:tc>
          <w:tcPr>
            <w:tcW w:w="380" w:type="dxa"/>
            <w:vAlign w:val="bottom"/>
            <w:vMerge w:val="restart"/>
            <w:shd w:val="clear" w:color="auto" w:fill="CCECFF"/>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54,670</w:t>
            </w:r>
          </w:p>
        </w:tc>
        <w:tc>
          <w:tcPr>
            <w:tcW w:w="2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66,385</w:t>
            </w:r>
          </w:p>
        </w:tc>
        <w:tc>
          <w:tcPr>
            <w:tcW w:w="260" w:type="dxa"/>
            <w:vAlign w:val="bottom"/>
            <w:vMerge w:val="restart"/>
            <w:shd w:val="clear" w:color="auto" w:fill="CCEC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683</w:t>
            </w:r>
          </w:p>
        </w:tc>
        <w:tc>
          <w:tcPr>
            <w:tcW w:w="320" w:type="dxa"/>
            <w:vAlign w:val="bottom"/>
            <w:vMerge w:val="restart"/>
            <w:shd w:val="clear" w:color="auto" w:fill="CCEC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830</w:t>
            </w:r>
          </w:p>
        </w:tc>
        <w:tc>
          <w:tcPr>
            <w:tcW w:w="320" w:type="dxa"/>
            <w:vAlign w:val="bottom"/>
            <w:vMerge w:val="restart"/>
            <w:shd w:val="clear" w:color="auto" w:fill="CCEC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35,536</w:t>
            </w:r>
          </w:p>
        </w:tc>
        <w:tc>
          <w:tcPr>
            <w:tcW w:w="320" w:type="dxa"/>
            <w:vAlign w:val="bottom"/>
            <w:vMerge w:val="restart"/>
            <w:shd w:val="clear" w:color="auto" w:fill="CCEC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vMerge w:val="restart"/>
            <w:shd w:val="clear" w:color="auto" w:fill="CCECFF"/>
          </w:tcPr>
          <w:p>
            <w:pPr>
              <w:jc w:val="center"/>
              <w:ind w:right="33"/>
              <w:spacing w:after="0"/>
              <w:rPr>
                <w:sz w:val="20"/>
                <w:szCs w:val="20"/>
                <w:color w:val="auto"/>
              </w:rPr>
            </w:pPr>
            <w:r>
              <w:rPr>
                <w:rFonts w:ascii="Times New Roman" w:cs="Times New Roman" w:eastAsia="Times New Roman" w:hAnsi="Times New Roman"/>
                <w:sz w:val="13"/>
                <w:szCs w:val="13"/>
                <w:color w:val="auto"/>
              </w:rPr>
              <w:t>43,150</w:t>
            </w:r>
          </w:p>
        </w:tc>
        <w:tc>
          <w:tcPr>
            <w:tcW w:w="1040" w:type="dxa"/>
            <w:vAlign w:val="bottom"/>
            <w:vMerge w:val="continue"/>
            <w:shd w:val="clear" w:color="auto" w:fill="CCECFF"/>
          </w:tcPr>
          <w:p>
            <w:pPr>
              <w:spacing w:after="0"/>
              <w:rPr>
                <w:sz w:val="8"/>
                <w:szCs w:val="8"/>
                <w:color w:val="auto"/>
              </w:rPr>
            </w:pPr>
          </w:p>
        </w:tc>
        <w:tc>
          <w:tcPr>
            <w:tcW w:w="1200" w:type="dxa"/>
            <w:vAlign w:val="bottom"/>
            <w:vMerge w:val="restart"/>
            <w:shd w:val="clear" w:color="auto" w:fill="CCECFF"/>
          </w:tcPr>
          <w:p>
            <w:pPr>
              <w:jc w:val="center"/>
              <w:ind w:left="13"/>
              <w:spacing w:after="0"/>
              <w:rPr>
                <w:sz w:val="20"/>
                <w:szCs w:val="20"/>
                <w:color w:val="auto"/>
              </w:rPr>
            </w:pPr>
            <w:r>
              <w:rPr>
                <w:rFonts w:ascii="Times New Roman" w:cs="Times New Roman" w:eastAsia="Times New Roman" w:hAnsi="Times New Roman"/>
                <w:sz w:val="13"/>
                <w:szCs w:val="13"/>
                <w:color w:val="auto"/>
              </w:rPr>
              <w:t>the delivery from</w:t>
            </w:r>
          </w:p>
        </w:tc>
        <w:tc>
          <w:tcPr>
            <w:tcW w:w="0" w:type="dxa"/>
            <w:vAlign w:val="bottom"/>
          </w:tcPr>
          <w:p>
            <w:pPr>
              <w:spacing w:after="0"/>
              <w:rPr>
                <w:sz w:val="1"/>
                <w:szCs w:val="1"/>
                <w:color w:val="auto"/>
              </w:rPr>
            </w:pPr>
          </w:p>
        </w:tc>
      </w:tr>
      <w:tr>
        <w:trPr>
          <w:trHeight w:val="67"/>
        </w:trPr>
        <w:tc>
          <w:tcPr>
            <w:tcW w:w="1460" w:type="dxa"/>
            <w:vAlign w:val="bottom"/>
            <w:vMerge w:val="continue"/>
            <w:shd w:val="clear" w:color="auto" w:fill="CCECFF"/>
          </w:tcPr>
          <w:p>
            <w:pPr>
              <w:spacing w:after="0"/>
              <w:rPr>
                <w:sz w:val="5"/>
                <w:szCs w:val="5"/>
                <w:color w:val="auto"/>
              </w:rPr>
            </w:pPr>
          </w:p>
        </w:tc>
        <w:tc>
          <w:tcPr>
            <w:tcW w:w="380" w:type="dxa"/>
            <w:vAlign w:val="bottom"/>
            <w:vMerge w:val="continue"/>
            <w:shd w:val="clear" w:color="auto" w:fill="CCECFF"/>
          </w:tcPr>
          <w:p>
            <w:pPr>
              <w:spacing w:after="0"/>
              <w:rPr>
                <w:sz w:val="5"/>
                <w:szCs w:val="5"/>
                <w:color w:val="auto"/>
              </w:rPr>
            </w:pPr>
          </w:p>
        </w:tc>
        <w:tc>
          <w:tcPr>
            <w:tcW w:w="880" w:type="dxa"/>
            <w:vAlign w:val="bottom"/>
            <w:vMerge w:val="continue"/>
            <w:shd w:val="clear" w:color="auto" w:fill="CCECFF"/>
          </w:tcPr>
          <w:p>
            <w:pPr>
              <w:spacing w:after="0"/>
              <w:rPr>
                <w:sz w:val="5"/>
                <w:szCs w:val="5"/>
                <w:color w:val="auto"/>
              </w:rPr>
            </w:pPr>
          </w:p>
        </w:tc>
        <w:tc>
          <w:tcPr>
            <w:tcW w:w="280" w:type="dxa"/>
            <w:vAlign w:val="bottom"/>
            <w:vMerge w:val="continue"/>
            <w:shd w:val="clear" w:color="auto" w:fill="CCECFF"/>
          </w:tcPr>
          <w:p>
            <w:pPr>
              <w:spacing w:after="0"/>
              <w:rPr>
                <w:sz w:val="5"/>
                <w:szCs w:val="5"/>
                <w:color w:val="auto"/>
              </w:rPr>
            </w:pPr>
          </w:p>
        </w:tc>
        <w:tc>
          <w:tcPr>
            <w:tcW w:w="1040" w:type="dxa"/>
            <w:vAlign w:val="bottom"/>
            <w:vMerge w:val="continue"/>
            <w:shd w:val="clear" w:color="auto" w:fill="CCECFF"/>
          </w:tcPr>
          <w:p>
            <w:pPr>
              <w:spacing w:after="0"/>
              <w:rPr>
                <w:sz w:val="5"/>
                <w:szCs w:val="5"/>
                <w:color w:val="auto"/>
              </w:rPr>
            </w:pPr>
          </w:p>
        </w:tc>
        <w:tc>
          <w:tcPr>
            <w:tcW w:w="260" w:type="dxa"/>
            <w:vAlign w:val="bottom"/>
            <w:vMerge w:val="continue"/>
            <w:shd w:val="clear" w:color="auto" w:fill="CCECFF"/>
          </w:tcPr>
          <w:p>
            <w:pPr>
              <w:spacing w:after="0"/>
              <w:rPr>
                <w:sz w:val="5"/>
                <w:szCs w:val="5"/>
                <w:color w:val="auto"/>
              </w:rPr>
            </w:pPr>
          </w:p>
        </w:tc>
        <w:tc>
          <w:tcPr>
            <w:tcW w:w="900" w:type="dxa"/>
            <w:vAlign w:val="bottom"/>
            <w:vMerge w:val="continue"/>
            <w:shd w:val="clear" w:color="auto" w:fill="CCECFF"/>
          </w:tcPr>
          <w:p>
            <w:pPr>
              <w:spacing w:after="0"/>
              <w:rPr>
                <w:sz w:val="5"/>
                <w:szCs w:val="5"/>
                <w:color w:val="auto"/>
              </w:rPr>
            </w:pPr>
          </w:p>
        </w:tc>
        <w:tc>
          <w:tcPr>
            <w:tcW w:w="320" w:type="dxa"/>
            <w:vAlign w:val="bottom"/>
            <w:vMerge w:val="continue"/>
            <w:shd w:val="clear" w:color="auto" w:fill="CCECFF"/>
          </w:tcPr>
          <w:p>
            <w:pPr>
              <w:spacing w:after="0"/>
              <w:rPr>
                <w:sz w:val="5"/>
                <w:szCs w:val="5"/>
                <w:color w:val="auto"/>
              </w:rPr>
            </w:pPr>
          </w:p>
        </w:tc>
        <w:tc>
          <w:tcPr>
            <w:tcW w:w="940" w:type="dxa"/>
            <w:vAlign w:val="bottom"/>
            <w:vMerge w:val="continue"/>
            <w:shd w:val="clear" w:color="auto" w:fill="CCECFF"/>
          </w:tcPr>
          <w:p>
            <w:pPr>
              <w:spacing w:after="0"/>
              <w:rPr>
                <w:sz w:val="5"/>
                <w:szCs w:val="5"/>
                <w:color w:val="auto"/>
              </w:rPr>
            </w:pPr>
          </w:p>
        </w:tc>
        <w:tc>
          <w:tcPr>
            <w:tcW w:w="320" w:type="dxa"/>
            <w:vAlign w:val="bottom"/>
            <w:vMerge w:val="continue"/>
            <w:shd w:val="clear" w:color="auto" w:fill="CCECFF"/>
          </w:tcPr>
          <w:p>
            <w:pPr>
              <w:spacing w:after="0"/>
              <w:rPr>
                <w:sz w:val="5"/>
                <w:szCs w:val="5"/>
                <w:color w:val="auto"/>
              </w:rPr>
            </w:pPr>
          </w:p>
        </w:tc>
        <w:tc>
          <w:tcPr>
            <w:tcW w:w="900" w:type="dxa"/>
            <w:vAlign w:val="bottom"/>
            <w:vMerge w:val="continue"/>
            <w:shd w:val="clear" w:color="auto" w:fill="CCECFF"/>
          </w:tcPr>
          <w:p>
            <w:pPr>
              <w:spacing w:after="0"/>
              <w:rPr>
                <w:sz w:val="5"/>
                <w:szCs w:val="5"/>
                <w:color w:val="auto"/>
              </w:rPr>
            </w:pPr>
          </w:p>
        </w:tc>
        <w:tc>
          <w:tcPr>
            <w:tcW w:w="320" w:type="dxa"/>
            <w:vAlign w:val="bottom"/>
            <w:vMerge w:val="continue"/>
            <w:shd w:val="clear" w:color="auto" w:fill="CCECFF"/>
          </w:tcPr>
          <w:p>
            <w:pPr>
              <w:spacing w:after="0"/>
              <w:rPr>
                <w:sz w:val="5"/>
                <w:szCs w:val="5"/>
                <w:color w:val="auto"/>
              </w:rPr>
            </w:pPr>
          </w:p>
        </w:tc>
        <w:tc>
          <w:tcPr>
            <w:tcW w:w="1040" w:type="dxa"/>
            <w:vAlign w:val="bottom"/>
            <w:vMerge w:val="continue"/>
            <w:shd w:val="clear" w:color="auto" w:fill="CCECFF"/>
          </w:tcPr>
          <w:p>
            <w:pPr>
              <w:spacing w:after="0"/>
              <w:rPr>
                <w:sz w:val="5"/>
                <w:szCs w:val="5"/>
                <w:color w:val="auto"/>
              </w:rPr>
            </w:pPr>
          </w:p>
        </w:tc>
        <w:tc>
          <w:tcPr>
            <w:tcW w:w="1040" w:type="dxa"/>
            <w:vAlign w:val="bottom"/>
            <w:shd w:val="clear" w:color="auto" w:fill="CCECFF"/>
          </w:tcPr>
          <w:p>
            <w:pPr>
              <w:spacing w:after="0"/>
              <w:rPr>
                <w:sz w:val="5"/>
                <w:szCs w:val="5"/>
                <w:color w:val="auto"/>
              </w:rPr>
            </w:pPr>
          </w:p>
        </w:tc>
        <w:tc>
          <w:tcPr>
            <w:tcW w:w="1200" w:type="dxa"/>
            <w:vAlign w:val="bottom"/>
            <w:vMerge w:val="continue"/>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146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88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1200" w:type="dxa"/>
            <w:vAlign w:val="bottom"/>
            <w:shd w:val="clear" w:color="auto" w:fill="CCECFF"/>
          </w:tcPr>
          <w:p>
            <w:pPr>
              <w:jc w:val="center"/>
              <w:ind w:left="33"/>
              <w:spacing w:after="0"/>
              <w:rPr>
                <w:sz w:val="20"/>
                <w:szCs w:val="20"/>
                <w:color w:val="auto"/>
              </w:rPr>
            </w:pPr>
            <w:r>
              <w:rPr>
                <w:rFonts w:ascii="Times New Roman" w:cs="Times New Roman" w:eastAsia="Times New Roman" w:hAnsi="Times New Roman"/>
                <w:sz w:val="13"/>
                <w:szCs w:val="13"/>
                <w:color w:val="auto"/>
              </w:rPr>
              <w:t>the shipyard</w:t>
            </w:r>
          </w:p>
        </w:tc>
        <w:tc>
          <w:tcPr>
            <w:tcW w:w="0" w:type="dxa"/>
            <w:vAlign w:val="bottom"/>
          </w:tcPr>
          <w:p>
            <w:pPr>
              <w:spacing w:after="0"/>
              <w:rPr>
                <w:sz w:val="1"/>
                <w:szCs w:val="1"/>
                <w:color w:val="auto"/>
              </w:rPr>
            </w:pPr>
          </w:p>
        </w:tc>
      </w:tr>
      <w:tr>
        <w:trPr>
          <w:trHeight w:val="100"/>
        </w:trPr>
        <w:tc>
          <w:tcPr>
            <w:tcW w:w="1460" w:type="dxa"/>
            <w:vAlign w:val="bottom"/>
            <w:shd w:val="clear" w:color="auto" w:fill="CCECFF"/>
          </w:tcPr>
          <w:p>
            <w:pPr>
              <w:spacing w:after="0"/>
              <w:rPr>
                <w:sz w:val="8"/>
                <w:szCs w:val="8"/>
                <w:color w:val="auto"/>
              </w:rPr>
            </w:pPr>
          </w:p>
        </w:tc>
        <w:tc>
          <w:tcPr>
            <w:tcW w:w="380" w:type="dxa"/>
            <w:vAlign w:val="bottom"/>
            <w:shd w:val="clear" w:color="auto" w:fill="CCECFF"/>
          </w:tcPr>
          <w:p>
            <w:pPr>
              <w:spacing w:after="0"/>
              <w:rPr>
                <w:sz w:val="8"/>
                <w:szCs w:val="8"/>
                <w:color w:val="auto"/>
              </w:rPr>
            </w:pPr>
          </w:p>
        </w:tc>
        <w:tc>
          <w:tcPr>
            <w:tcW w:w="880" w:type="dxa"/>
            <w:vAlign w:val="bottom"/>
            <w:shd w:val="clear" w:color="auto" w:fill="CCECFF"/>
          </w:tcPr>
          <w:p>
            <w:pPr>
              <w:spacing w:after="0"/>
              <w:rPr>
                <w:sz w:val="8"/>
                <w:szCs w:val="8"/>
                <w:color w:val="auto"/>
              </w:rPr>
            </w:pPr>
          </w:p>
        </w:tc>
        <w:tc>
          <w:tcPr>
            <w:tcW w:w="280" w:type="dxa"/>
            <w:vAlign w:val="bottom"/>
            <w:shd w:val="clear" w:color="auto" w:fill="CCECFF"/>
          </w:tcPr>
          <w:p>
            <w:pPr>
              <w:spacing w:after="0"/>
              <w:rPr>
                <w:sz w:val="8"/>
                <w:szCs w:val="8"/>
                <w:color w:val="auto"/>
              </w:rPr>
            </w:pPr>
          </w:p>
        </w:tc>
        <w:tc>
          <w:tcPr>
            <w:tcW w:w="1040" w:type="dxa"/>
            <w:vAlign w:val="bottom"/>
            <w:shd w:val="clear" w:color="auto" w:fill="CCECFF"/>
          </w:tcPr>
          <w:p>
            <w:pPr>
              <w:spacing w:after="0"/>
              <w:rPr>
                <w:sz w:val="8"/>
                <w:szCs w:val="8"/>
                <w:color w:val="auto"/>
              </w:rPr>
            </w:pPr>
          </w:p>
        </w:tc>
        <w:tc>
          <w:tcPr>
            <w:tcW w:w="260" w:type="dxa"/>
            <w:vAlign w:val="bottom"/>
            <w:shd w:val="clear" w:color="auto" w:fill="CCECFF"/>
          </w:tcPr>
          <w:p>
            <w:pPr>
              <w:spacing w:after="0"/>
              <w:rPr>
                <w:sz w:val="8"/>
                <w:szCs w:val="8"/>
                <w:color w:val="auto"/>
              </w:rPr>
            </w:pPr>
          </w:p>
        </w:tc>
        <w:tc>
          <w:tcPr>
            <w:tcW w:w="900" w:type="dxa"/>
            <w:vAlign w:val="bottom"/>
            <w:shd w:val="clear" w:color="auto" w:fill="CCECFF"/>
          </w:tcPr>
          <w:p>
            <w:pPr>
              <w:spacing w:after="0"/>
              <w:rPr>
                <w:sz w:val="8"/>
                <w:szCs w:val="8"/>
                <w:color w:val="auto"/>
              </w:rPr>
            </w:pPr>
          </w:p>
        </w:tc>
        <w:tc>
          <w:tcPr>
            <w:tcW w:w="320" w:type="dxa"/>
            <w:vAlign w:val="bottom"/>
            <w:shd w:val="clear" w:color="auto" w:fill="CCECFF"/>
          </w:tcPr>
          <w:p>
            <w:pPr>
              <w:spacing w:after="0"/>
              <w:rPr>
                <w:sz w:val="8"/>
                <w:szCs w:val="8"/>
                <w:color w:val="auto"/>
              </w:rPr>
            </w:pPr>
          </w:p>
        </w:tc>
        <w:tc>
          <w:tcPr>
            <w:tcW w:w="940" w:type="dxa"/>
            <w:vAlign w:val="bottom"/>
            <w:shd w:val="clear" w:color="auto" w:fill="CCECFF"/>
          </w:tcPr>
          <w:p>
            <w:pPr>
              <w:spacing w:after="0"/>
              <w:rPr>
                <w:sz w:val="8"/>
                <w:szCs w:val="8"/>
                <w:color w:val="auto"/>
              </w:rPr>
            </w:pPr>
          </w:p>
        </w:tc>
        <w:tc>
          <w:tcPr>
            <w:tcW w:w="320" w:type="dxa"/>
            <w:vAlign w:val="bottom"/>
            <w:shd w:val="clear" w:color="auto" w:fill="CCECFF"/>
          </w:tcPr>
          <w:p>
            <w:pPr>
              <w:spacing w:after="0"/>
              <w:rPr>
                <w:sz w:val="8"/>
                <w:szCs w:val="8"/>
                <w:color w:val="auto"/>
              </w:rPr>
            </w:pPr>
          </w:p>
        </w:tc>
        <w:tc>
          <w:tcPr>
            <w:tcW w:w="900" w:type="dxa"/>
            <w:vAlign w:val="bottom"/>
            <w:shd w:val="clear" w:color="auto" w:fill="CCECFF"/>
          </w:tcPr>
          <w:p>
            <w:pPr>
              <w:spacing w:after="0"/>
              <w:rPr>
                <w:sz w:val="8"/>
                <w:szCs w:val="8"/>
                <w:color w:val="auto"/>
              </w:rPr>
            </w:pPr>
          </w:p>
        </w:tc>
        <w:tc>
          <w:tcPr>
            <w:tcW w:w="320" w:type="dxa"/>
            <w:vAlign w:val="bottom"/>
            <w:shd w:val="clear" w:color="auto" w:fill="CCECFF"/>
          </w:tcPr>
          <w:p>
            <w:pPr>
              <w:spacing w:after="0"/>
              <w:rPr>
                <w:sz w:val="8"/>
                <w:szCs w:val="8"/>
                <w:color w:val="auto"/>
              </w:rPr>
            </w:pPr>
          </w:p>
        </w:tc>
        <w:tc>
          <w:tcPr>
            <w:tcW w:w="1040" w:type="dxa"/>
            <w:vAlign w:val="bottom"/>
            <w:shd w:val="clear" w:color="auto" w:fill="CCECFF"/>
          </w:tcPr>
          <w:p>
            <w:pPr>
              <w:spacing w:after="0"/>
              <w:rPr>
                <w:sz w:val="8"/>
                <w:szCs w:val="8"/>
                <w:color w:val="auto"/>
              </w:rPr>
            </w:pPr>
          </w:p>
        </w:tc>
        <w:tc>
          <w:tcPr>
            <w:tcW w:w="1040" w:type="dxa"/>
            <w:vAlign w:val="bottom"/>
            <w:shd w:val="clear" w:color="auto" w:fill="CCECFF"/>
          </w:tcPr>
          <w:p>
            <w:pPr>
              <w:spacing w:after="0"/>
              <w:rPr>
                <w:sz w:val="8"/>
                <w:szCs w:val="8"/>
                <w:color w:val="auto"/>
              </w:rPr>
            </w:pPr>
          </w:p>
        </w:tc>
        <w:tc>
          <w:tcPr>
            <w:tcW w:w="12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0" w:type="dxa"/>
            <w:vAlign w:val="bottom"/>
          </w:tcPr>
          <w:p>
            <w:pPr>
              <w:jc w:val="center"/>
              <w:ind w:left="33"/>
              <w:spacing w:after="0" w:line="147" w:lineRule="exact"/>
              <w:rPr>
                <w:sz w:val="20"/>
                <w:szCs w:val="20"/>
                <w:color w:val="auto"/>
              </w:rPr>
            </w:pPr>
            <w:r>
              <w:rPr>
                <w:rFonts w:ascii="Times New Roman" w:cs="Times New Roman" w:eastAsia="Times New Roman" w:hAnsi="Times New Roman"/>
                <w:sz w:val="13"/>
                <w:szCs w:val="13"/>
                <w:color w:val="auto"/>
              </w:rPr>
              <w:t>partially financing</w:t>
            </w:r>
          </w:p>
        </w:tc>
        <w:tc>
          <w:tcPr>
            <w:tcW w:w="0" w:type="dxa"/>
            <w:vAlign w:val="bottom"/>
          </w:tcPr>
          <w:p>
            <w:pPr>
              <w:spacing w:after="0"/>
              <w:rPr>
                <w:sz w:val="1"/>
                <w:szCs w:val="1"/>
                <w:color w:val="auto"/>
              </w:rPr>
            </w:pPr>
          </w:p>
        </w:tc>
      </w:tr>
      <w:tr>
        <w:trPr>
          <w:trHeight w:val="160"/>
        </w:trPr>
        <w:tc>
          <w:tcPr>
            <w:tcW w:w="146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MG/C Aridaios</w:t>
            </w:r>
          </w:p>
        </w:tc>
        <w:tc>
          <w:tcPr>
            <w:tcW w:w="3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54,670</w:t>
            </w:r>
          </w:p>
        </w:tc>
        <w:tc>
          <w:tcPr>
            <w:tcW w:w="2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66,385</w:t>
            </w:r>
          </w:p>
        </w:tc>
        <w:tc>
          <w:tcPr>
            <w:tcW w:w="26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683</w:t>
            </w:r>
          </w:p>
        </w:tc>
        <w:tc>
          <w:tcPr>
            <w:tcW w:w="3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830</w:t>
            </w:r>
          </w:p>
        </w:tc>
        <w:tc>
          <w:tcPr>
            <w:tcW w:w="3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35,536</w:t>
            </w:r>
          </w:p>
        </w:tc>
        <w:tc>
          <w:tcPr>
            <w:tcW w:w="320" w:type="dxa"/>
            <w:vAlign w:val="bottom"/>
          </w:tcPr>
          <w:p>
            <w:pPr>
              <w:spacing w:after="0"/>
              <w:rPr>
                <w:sz w:val="13"/>
                <w:szCs w:val="13"/>
                <w:color w:val="auto"/>
              </w:rPr>
            </w:pPr>
          </w:p>
        </w:tc>
        <w:tc>
          <w:tcPr>
            <w:tcW w:w="104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43,150</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7</w:t>
            </w:r>
          </w:p>
        </w:tc>
        <w:tc>
          <w:tcPr>
            <w:tcW w:w="120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auto"/>
              </w:rPr>
              <w:t>the delivery from</w:t>
            </w:r>
          </w:p>
        </w:tc>
        <w:tc>
          <w:tcPr>
            <w:tcW w:w="0" w:type="dxa"/>
            <w:vAlign w:val="bottom"/>
          </w:tcPr>
          <w:p>
            <w:pPr>
              <w:spacing w:after="0"/>
              <w:rPr>
                <w:sz w:val="1"/>
                <w:szCs w:val="1"/>
                <w:color w:val="auto"/>
              </w:rPr>
            </w:pPr>
          </w:p>
        </w:tc>
      </w:tr>
      <w:tr>
        <w:trPr>
          <w:trHeight w:val="173"/>
        </w:trPr>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jc w:val="center"/>
              <w:ind w:left="33"/>
              <w:spacing w:after="0"/>
              <w:rPr>
                <w:sz w:val="20"/>
                <w:szCs w:val="20"/>
                <w:color w:val="auto"/>
              </w:rPr>
            </w:pPr>
            <w:r>
              <w:rPr>
                <w:rFonts w:ascii="Times New Roman" w:cs="Times New Roman" w:eastAsia="Times New Roman" w:hAnsi="Times New Roman"/>
                <w:sz w:val="13"/>
                <w:szCs w:val="13"/>
                <w:color w:val="auto"/>
              </w:rPr>
              <w:t>the shipyard</w:t>
            </w:r>
          </w:p>
        </w:tc>
        <w:tc>
          <w:tcPr>
            <w:tcW w:w="0" w:type="dxa"/>
            <w:vAlign w:val="bottom"/>
          </w:tcPr>
          <w:p>
            <w:pPr>
              <w:spacing w:after="0"/>
              <w:rPr>
                <w:sz w:val="1"/>
                <w:szCs w:val="1"/>
                <w:color w:val="auto"/>
              </w:rPr>
            </w:pPr>
          </w:p>
        </w:tc>
      </w:tr>
      <w:tr>
        <w:trPr>
          <w:trHeight w:val="100"/>
        </w:trPr>
        <w:tc>
          <w:tcPr>
            <w:tcW w:w="1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460" w:type="dxa"/>
            <w:vAlign w:val="bottom"/>
            <w:shd w:val="clear" w:color="auto" w:fill="CCECFF"/>
          </w:tcPr>
          <w:p>
            <w:pPr>
              <w:spacing w:after="0"/>
              <w:rPr>
                <w:sz w:val="12"/>
                <w:szCs w:val="12"/>
                <w:color w:val="auto"/>
              </w:rPr>
            </w:pPr>
          </w:p>
        </w:tc>
        <w:tc>
          <w:tcPr>
            <w:tcW w:w="38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200" w:type="dxa"/>
            <w:vAlign w:val="bottom"/>
            <w:shd w:val="clear" w:color="auto" w:fill="CCECFF"/>
          </w:tcPr>
          <w:p>
            <w:pPr>
              <w:jc w:val="center"/>
              <w:ind w:left="33"/>
              <w:spacing w:after="0" w:line="147" w:lineRule="exact"/>
              <w:rPr>
                <w:sz w:val="20"/>
                <w:szCs w:val="20"/>
                <w:color w:val="auto"/>
              </w:rPr>
            </w:pPr>
            <w:r>
              <w:rPr>
                <w:rFonts w:ascii="Times New Roman" w:cs="Times New Roman" w:eastAsia="Times New Roman" w:hAnsi="Times New Roman"/>
                <w:sz w:val="13"/>
                <w:szCs w:val="13"/>
                <w:color w:val="auto"/>
              </w:rPr>
              <w:t>partially financing</w:t>
            </w:r>
          </w:p>
        </w:tc>
        <w:tc>
          <w:tcPr>
            <w:tcW w:w="0" w:type="dxa"/>
            <w:vAlign w:val="bottom"/>
          </w:tcPr>
          <w:p>
            <w:pPr>
              <w:spacing w:after="0"/>
              <w:rPr>
                <w:sz w:val="1"/>
                <w:szCs w:val="1"/>
                <w:color w:val="auto"/>
              </w:rPr>
            </w:pPr>
          </w:p>
        </w:tc>
      </w:tr>
      <w:tr>
        <w:trPr>
          <w:trHeight w:val="160"/>
        </w:trPr>
        <w:tc>
          <w:tcPr>
            <w:tcW w:w="1460" w:type="dxa"/>
            <w:vAlign w:val="bottom"/>
            <w:shd w:val="clear" w:color="auto" w:fill="CCECFF"/>
          </w:tcPr>
          <w:p>
            <w:pPr>
              <w:jc w:val="center"/>
              <w:ind w:left="53"/>
              <w:spacing w:after="0"/>
              <w:rPr>
                <w:sz w:val="20"/>
                <w:szCs w:val="20"/>
                <w:color w:val="auto"/>
              </w:rPr>
            </w:pPr>
            <w:r>
              <w:rPr>
                <w:rFonts w:ascii="Times New Roman" w:cs="Times New Roman" w:eastAsia="Times New Roman" w:hAnsi="Times New Roman"/>
                <w:sz w:val="13"/>
                <w:szCs w:val="13"/>
                <w:color w:val="auto"/>
              </w:rPr>
              <w:t>MG/C Aratos</w:t>
            </w:r>
          </w:p>
        </w:tc>
        <w:tc>
          <w:tcPr>
            <w:tcW w:w="380" w:type="dxa"/>
            <w:vAlign w:val="bottom"/>
            <w:shd w:val="clear" w:color="auto" w:fill="CCECFF"/>
          </w:tcPr>
          <w:p>
            <w:pPr>
              <w:spacing w:after="0"/>
              <w:rPr>
                <w:sz w:val="13"/>
                <w:szCs w:val="13"/>
                <w:color w:val="auto"/>
              </w:rPr>
            </w:pP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54,670</w:t>
            </w:r>
          </w:p>
        </w:tc>
        <w:tc>
          <w:tcPr>
            <w:tcW w:w="280" w:type="dxa"/>
            <w:vAlign w:val="bottom"/>
            <w:shd w:val="clear" w:color="auto" w:fill="CCECFF"/>
          </w:tcPr>
          <w:p>
            <w:pPr>
              <w:spacing w:after="0"/>
              <w:rPr>
                <w:sz w:val="13"/>
                <w:szCs w:val="13"/>
                <w:color w:val="auto"/>
              </w:rPr>
            </w:pPr>
          </w:p>
        </w:tc>
        <w:tc>
          <w:tcPr>
            <w:tcW w:w="1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66,385</w:t>
            </w:r>
          </w:p>
        </w:tc>
        <w:tc>
          <w:tcPr>
            <w:tcW w:w="260" w:type="dxa"/>
            <w:vAlign w:val="bottom"/>
            <w:shd w:val="clear" w:color="auto" w:fill="CCECFF"/>
          </w:tcPr>
          <w:p>
            <w:pPr>
              <w:spacing w:after="0"/>
              <w:rPr>
                <w:sz w:val="13"/>
                <w:szCs w:val="13"/>
                <w:color w:val="auto"/>
              </w:rPr>
            </w:pP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683</w:t>
            </w:r>
          </w:p>
        </w:tc>
        <w:tc>
          <w:tcPr>
            <w:tcW w:w="320" w:type="dxa"/>
            <w:vAlign w:val="bottom"/>
            <w:shd w:val="clear" w:color="auto" w:fill="CCECFF"/>
          </w:tcPr>
          <w:p>
            <w:pPr>
              <w:spacing w:after="0"/>
              <w:rPr>
                <w:sz w:val="13"/>
                <w:szCs w:val="13"/>
                <w:color w:val="auto"/>
              </w:rPr>
            </w:pP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830</w:t>
            </w:r>
          </w:p>
        </w:tc>
        <w:tc>
          <w:tcPr>
            <w:tcW w:w="320" w:type="dxa"/>
            <w:vAlign w:val="bottom"/>
            <w:shd w:val="clear" w:color="auto" w:fill="CCECFF"/>
          </w:tcPr>
          <w:p>
            <w:pPr>
              <w:spacing w:after="0"/>
              <w:rPr>
                <w:sz w:val="13"/>
                <w:szCs w:val="13"/>
                <w:color w:val="auto"/>
              </w:rPr>
            </w:pP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35,536</w:t>
            </w:r>
          </w:p>
        </w:tc>
        <w:tc>
          <w:tcPr>
            <w:tcW w:w="320" w:type="dxa"/>
            <w:vAlign w:val="bottom"/>
            <w:shd w:val="clear" w:color="auto" w:fill="CCECFF"/>
          </w:tcPr>
          <w:p>
            <w:pPr>
              <w:spacing w:after="0"/>
              <w:rPr>
                <w:sz w:val="13"/>
                <w:szCs w:val="13"/>
                <w:color w:val="auto"/>
              </w:rPr>
            </w:pPr>
          </w:p>
        </w:tc>
        <w:tc>
          <w:tcPr>
            <w:tcW w:w="1040" w:type="dxa"/>
            <w:vAlign w:val="bottom"/>
            <w:shd w:val="clear" w:color="auto" w:fill="CCECFF"/>
          </w:tcPr>
          <w:p>
            <w:pPr>
              <w:jc w:val="center"/>
              <w:ind w:right="33"/>
              <w:spacing w:after="0"/>
              <w:rPr>
                <w:sz w:val="20"/>
                <w:szCs w:val="20"/>
                <w:color w:val="auto"/>
              </w:rPr>
            </w:pPr>
            <w:r>
              <w:rPr>
                <w:rFonts w:ascii="Times New Roman" w:cs="Times New Roman" w:eastAsia="Times New Roman" w:hAnsi="Times New Roman"/>
                <w:sz w:val="13"/>
                <w:szCs w:val="13"/>
                <w:color w:val="auto"/>
              </w:rPr>
              <w:t>43,150</w:t>
            </w:r>
          </w:p>
        </w:tc>
        <w:tc>
          <w:tcPr>
            <w:tcW w:w="1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1"/>
              </w:rPr>
              <w:t>7</w:t>
            </w:r>
          </w:p>
        </w:tc>
        <w:tc>
          <w:tcPr>
            <w:tcW w:w="1200" w:type="dxa"/>
            <w:vAlign w:val="bottom"/>
            <w:shd w:val="clear" w:color="auto" w:fill="CCECFF"/>
          </w:tcPr>
          <w:p>
            <w:pPr>
              <w:jc w:val="center"/>
              <w:ind w:left="13"/>
              <w:spacing w:after="0"/>
              <w:rPr>
                <w:sz w:val="20"/>
                <w:szCs w:val="20"/>
                <w:color w:val="auto"/>
              </w:rPr>
            </w:pPr>
            <w:r>
              <w:rPr>
                <w:rFonts w:ascii="Times New Roman" w:cs="Times New Roman" w:eastAsia="Times New Roman" w:hAnsi="Times New Roman"/>
                <w:sz w:val="13"/>
                <w:szCs w:val="13"/>
                <w:color w:val="auto"/>
              </w:rPr>
              <w:t>the delivery from</w:t>
            </w:r>
          </w:p>
        </w:tc>
        <w:tc>
          <w:tcPr>
            <w:tcW w:w="0" w:type="dxa"/>
            <w:vAlign w:val="bottom"/>
          </w:tcPr>
          <w:p>
            <w:pPr>
              <w:spacing w:after="0"/>
              <w:rPr>
                <w:sz w:val="1"/>
                <w:szCs w:val="1"/>
                <w:color w:val="auto"/>
              </w:rPr>
            </w:pPr>
          </w:p>
        </w:tc>
      </w:tr>
      <w:tr>
        <w:trPr>
          <w:trHeight w:val="173"/>
        </w:trPr>
        <w:tc>
          <w:tcPr>
            <w:tcW w:w="146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88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1200" w:type="dxa"/>
            <w:vAlign w:val="bottom"/>
            <w:shd w:val="clear" w:color="auto" w:fill="CCECFF"/>
          </w:tcPr>
          <w:p>
            <w:pPr>
              <w:jc w:val="center"/>
              <w:ind w:left="33"/>
              <w:spacing w:after="0"/>
              <w:rPr>
                <w:sz w:val="20"/>
                <w:szCs w:val="20"/>
                <w:color w:val="auto"/>
              </w:rPr>
            </w:pPr>
            <w:r>
              <w:rPr>
                <w:rFonts w:ascii="Times New Roman" w:cs="Times New Roman" w:eastAsia="Times New Roman" w:hAnsi="Times New Roman"/>
                <w:sz w:val="13"/>
                <w:szCs w:val="13"/>
                <w:color w:val="auto"/>
              </w:rPr>
              <w:t>the shipyard</w:t>
            </w:r>
          </w:p>
        </w:tc>
        <w:tc>
          <w:tcPr>
            <w:tcW w:w="0" w:type="dxa"/>
            <w:vAlign w:val="bottom"/>
          </w:tcPr>
          <w:p>
            <w:pPr>
              <w:spacing w:after="0"/>
              <w:rPr>
                <w:sz w:val="1"/>
                <w:szCs w:val="1"/>
                <w:color w:val="auto"/>
              </w:rPr>
            </w:pPr>
          </w:p>
        </w:tc>
      </w:tr>
      <w:tr>
        <w:trPr>
          <w:trHeight w:val="100"/>
        </w:trPr>
        <w:tc>
          <w:tcPr>
            <w:tcW w:w="1460" w:type="dxa"/>
            <w:vAlign w:val="bottom"/>
            <w:shd w:val="clear" w:color="auto" w:fill="CCECFF"/>
          </w:tcPr>
          <w:p>
            <w:pPr>
              <w:spacing w:after="0"/>
              <w:rPr>
                <w:sz w:val="8"/>
                <w:szCs w:val="8"/>
                <w:color w:val="auto"/>
              </w:rPr>
            </w:pPr>
          </w:p>
        </w:tc>
        <w:tc>
          <w:tcPr>
            <w:tcW w:w="380" w:type="dxa"/>
            <w:vAlign w:val="bottom"/>
            <w:shd w:val="clear" w:color="auto" w:fill="CCECFF"/>
          </w:tcPr>
          <w:p>
            <w:pPr>
              <w:spacing w:after="0"/>
              <w:rPr>
                <w:sz w:val="8"/>
                <w:szCs w:val="8"/>
                <w:color w:val="auto"/>
              </w:rPr>
            </w:pPr>
          </w:p>
        </w:tc>
        <w:tc>
          <w:tcPr>
            <w:tcW w:w="880" w:type="dxa"/>
            <w:vAlign w:val="bottom"/>
            <w:shd w:val="clear" w:color="auto" w:fill="CCECFF"/>
          </w:tcPr>
          <w:p>
            <w:pPr>
              <w:spacing w:after="0"/>
              <w:rPr>
                <w:sz w:val="8"/>
                <w:szCs w:val="8"/>
                <w:color w:val="auto"/>
              </w:rPr>
            </w:pPr>
          </w:p>
        </w:tc>
        <w:tc>
          <w:tcPr>
            <w:tcW w:w="280" w:type="dxa"/>
            <w:vAlign w:val="bottom"/>
            <w:shd w:val="clear" w:color="auto" w:fill="CCECFF"/>
          </w:tcPr>
          <w:p>
            <w:pPr>
              <w:spacing w:after="0"/>
              <w:rPr>
                <w:sz w:val="8"/>
                <w:szCs w:val="8"/>
                <w:color w:val="auto"/>
              </w:rPr>
            </w:pPr>
          </w:p>
        </w:tc>
        <w:tc>
          <w:tcPr>
            <w:tcW w:w="1040" w:type="dxa"/>
            <w:vAlign w:val="bottom"/>
            <w:shd w:val="clear" w:color="auto" w:fill="CCECFF"/>
          </w:tcPr>
          <w:p>
            <w:pPr>
              <w:spacing w:after="0"/>
              <w:rPr>
                <w:sz w:val="8"/>
                <w:szCs w:val="8"/>
                <w:color w:val="auto"/>
              </w:rPr>
            </w:pPr>
          </w:p>
        </w:tc>
        <w:tc>
          <w:tcPr>
            <w:tcW w:w="260" w:type="dxa"/>
            <w:vAlign w:val="bottom"/>
            <w:shd w:val="clear" w:color="auto" w:fill="CCECFF"/>
          </w:tcPr>
          <w:p>
            <w:pPr>
              <w:spacing w:after="0"/>
              <w:rPr>
                <w:sz w:val="8"/>
                <w:szCs w:val="8"/>
                <w:color w:val="auto"/>
              </w:rPr>
            </w:pPr>
          </w:p>
        </w:tc>
        <w:tc>
          <w:tcPr>
            <w:tcW w:w="900" w:type="dxa"/>
            <w:vAlign w:val="bottom"/>
            <w:shd w:val="clear" w:color="auto" w:fill="CCECFF"/>
          </w:tcPr>
          <w:p>
            <w:pPr>
              <w:spacing w:after="0"/>
              <w:rPr>
                <w:sz w:val="8"/>
                <w:szCs w:val="8"/>
                <w:color w:val="auto"/>
              </w:rPr>
            </w:pPr>
          </w:p>
        </w:tc>
        <w:tc>
          <w:tcPr>
            <w:tcW w:w="320" w:type="dxa"/>
            <w:vAlign w:val="bottom"/>
            <w:shd w:val="clear" w:color="auto" w:fill="CCECFF"/>
          </w:tcPr>
          <w:p>
            <w:pPr>
              <w:spacing w:after="0"/>
              <w:rPr>
                <w:sz w:val="8"/>
                <w:szCs w:val="8"/>
                <w:color w:val="auto"/>
              </w:rPr>
            </w:pPr>
          </w:p>
        </w:tc>
        <w:tc>
          <w:tcPr>
            <w:tcW w:w="940" w:type="dxa"/>
            <w:vAlign w:val="bottom"/>
            <w:shd w:val="clear" w:color="auto" w:fill="CCECFF"/>
          </w:tcPr>
          <w:p>
            <w:pPr>
              <w:spacing w:after="0"/>
              <w:rPr>
                <w:sz w:val="8"/>
                <w:szCs w:val="8"/>
                <w:color w:val="auto"/>
              </w:rPr>
            </w:pPr>
          </w:p>
        </w:tc>
        <w:tc>
          <w:tcPr>
            <w:tcW w:w="320" w:type="dxa"/>
            <w:vAlign w:val="bottom"/>
            <w:shd w:val="clear" w:color="auto" w:fill="CCECFF"/>
          </w:tcPr>
          <w:p>
            <w:pPr>
              <w:spacing w:after="0"/>
              <w:rPr>
                <w:sz w:val="8"/>
                <w:szCs w:val="8"/>
                <w:color w:val="auto"/>
              </w:rPr>
            </w:pPr>
          </w:p>
        </w:tc>
        <w:tc>
          <w:tcPr>
            <w:tcW w:w="900" w:type="dxa"/>
            <w:vAlign w:val="bottom"/>
            <w:shd w:val="clear" w:color="auto" w:fill="CCECFF"/>
          </w:tcPr>
          <w:p>
            <w:pPr>
              <w:spacing w:after="0"/>
              <w:rPr>
                <w:sz w:val="8"/>
                <w:szCs w:val="8"/>
                <w:color w:val="auto"/>
              </w:rPr>
            </w:pPr>
          </w:p>
        </w:tc>
        <w:tc>
          <w:tcPr>
            <w:tcW w:w="320" w:type="dxa"/>
            <w:vAlign w:val="bottom"/>
            <w:shd w:val="clear" w:color="auto" w:fill="CCECFF"/>
          </w:tcPr>
          <w:p>
            <w:pPr>
              <w:spacing w:after="0"/>
              <w:rPr>
                <w:sz w:val="8"/>
                <w:szCs w:val="8"/>
                <w:color w:val="auto"/>
              </w:rPr>
            </w:pPr>
          </w:p>
        </w:tc>
        <w:tc>
          <w:tcPr>
            <w:tcW w:w="1040" w:type="dxa"/>
            <w:vAlign w:val="bottom"/>
            <w:shd w:val="clear" w:color="auto" w:fill="CCECFF"/>
          </w:tcPr>
          <w:p>
            <w:pPr>
              <w:spacing w:after="0"/>
              <w:rPr>
                <w:sz w:val="8"/>
                <w:szCs w:val="8"/>
                <w:color w:val="auto"/>
              </w:rPr>
            </w:pPr>
          </w:p>
        </w:tc>
        <w:tc>
          <w:tcPr>
            <w:tcW w:w="1040" w:type="dxa"/>
            <w:vAlign w:val="bottom"/>
            <w:shd w:val="clear" w:color="auto" w:fill="CCECFF"/>
          </w:tcPr>
          <w:p>
            <w:pPr>
              <w:spacing w:after="0"/>
              <w:rPr>
                <w:sz w:val="8"/>
                <w:szCs w:val="8"/>
                <w:color w:val="auto"/>
              </w:rPr>
            </w:pPr>
          </w:p>
        </w:tc>
        <w:tc>
          <w:tcPr>
            <w:tcW w:w="12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0" w:type="dxa"/>
            <w:vAlign w:val="bottom"/>
          </w:tcPr>
          <w:p>
            <w:pPr>
              <w:jc w:val="center"/>
              <w:ind w:left="33"/>
              <w:spacing w:after="0" w:line="147" w:lineRule="exact"/>
              <w:rPr>
                <w:sz w:val="20"/>
                <w:szCs w:val="20"/>
                <w:color w:val="auto"/>
              </w:rPr>
            </w:pPr>
            <w:r>
              <w:rPr>
                <w:rFonts w:ascii="Times New Roman" w:cs="Times New Roman" w:eastAsia="Times New Roman" w:hAnsi="Times New Roman"/>
                <w:sz w:val="13"/>
                <w:szCs w:val="13"/>
                <w:color w:val="auto"/>
              </w:rPr>
              <w:t>partially financing</w:t>
            </w:r>
          </w:p>
        </w:tc>
        <w:tc>
          <w:tcPr>
            <w:tcW w:w="0" w:type="dxa"/>
            <w:vAlign w:val="bottom"/>
          </w:tcPr>
          <w:p>
            <w:pPr>
              <w:spacing w:after="0"/>
              <w:rPr>
                <w:sz w:val="1"/>
                <w:szCs w:val="1"/>
                <w:color w:val="auto"/>
              </w:rPr>
            </w:pPr>
          </w:p>
        </w:tc>
      </w:tr>
      <w:tr>
        <w:trPr>
          <w:trHeight w:val="160"/>
        </w:trPr>
        <w:tc>
          <w:tcPr>
            <w:tcW w:w="146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MG/C Agenor</w:t>
            </w:r>
          </w:p>
        </w:tc>
        <w:tc>
          <w:tcPr>
            <w:tcW w:w="3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54,670</w:t>
            </w:r>
          </w:p>
        </w:tc>
        <w:tc>
          <w:tcPr>
            <w:tcW w:w="2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66,385</w:t>
            </w:r>
          </w:p>
        </w:tc>
        <w:tc>
          <w:tcPr>
            <w:tcW w:w="26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683</w:t>
            </w:r>
          </w:p>
        </w:tc>
        <w:tc>
          <w:tcPr>
            <w:tcW w:w="3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830</w:t>
            </w:r>
          </w:p>
        </w:tc>
        <w:tc>
          <w:tcPr>
            <w:tcW w:w="3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35,536</w:t>
            </w:r>
          </w:p>
        </w:tc>
        <w:tc>
          <w:tcPr>
            <w:tcW w:w="320" w:type="dxa"/>
            <w:vAlign w:val="bottom"/>
          </w:tcPr>
          <w:p>
            <w:pPr>
              <w:spacing w:after="0"/>
              <w:rPr>
                <w:sz w:val="13"/>
                <w:szCs w:val="13"/>
                <w:color w:val="auto"/>
              </w:rPr>
            </w:pPr>
          </w:p>
        </w:tc>
        <w:tc>
          <w:tcPr>
            <w:tcW w:w="104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43,150</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7</w:t>
            </w:r>
          </w:p>
        </w:tc>
        <w:tc>
          <w:tcPr>
            <w:tcW w:w="120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auto"/>
              </w:rPr>
              <w:t>the delivery from</w:t>
            </w:r>
          </w:p>
        </w:tc>
        <w:tc>
          <w:tcPr>
            <w:tcW w:w="0" w:type="dxa"/>
            <w:vAlign w:val="bottom"/>
          </w:tcPr>
          <w:p>
            <w:pPr>
              <w:spacing w:after="0"/>
              <w:rPr>
                <w:sz w:val="1"/>
                <w:szCs w:val="1"/>
                <w:color w:val="auto"/>
              </w:rPr>
            </w:pPr>
          </w:p>
        </w:tc>
      </w:tr>
      <w:tr>
        <w:trPr>
          <w:trHeight w:val="173"/>
        </w:trPr>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jc w:val="center"/>
              <w:ind w:left="33"/>
              <w:spacing w:after="0"/>
              <w:rPr>
                <w:sz w:val="20"/>
                <w:szCs w:val="20"/>
                <w:color w:val="auto"/>
              </w:rPr>
            </w:pPr>
            <w:r>
              <w:rPr>
                <w:rFonts w:ascii="Times New Roman" w:cs="Times New Roman" w:eastAsia="Times New Roman" w:hAnsi="Times New Roman"/>
                <w:sz w:val="13"/>
                <w:szCs w:val="13"/>
                <w:color w:val="auto"/>
              </w:rPr>
              <w:t>the shipyard</w:t>
            </w:r>
          </w:p>
        </w:tc>
        <w:tc>
          <w:tcPr>
            <w:tcW w:w="0" w:type="dxa"/>
            <w:vAlign w:val="bottom"/>
          </w:tcPr>
          <w:p>
            <w:pPr>
              <w:spacing w:after="0"/>
              <w:rPr>
                <w:sz w:val="1"/>
                <w:szCs w:val="1"/>
                <w:color w:val="auto"/>
              </w:rPr>
            </w:pPr>
          </w:p>
        </w:tc>
      </w:tr>
      <w:tr>
        <w:trPr>
          <w:trHeight w:val="100"/>
        </w:trPr>
        <w:tc>
          <w:tcPr>
            <w:tcW w:w="1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460" w:type="dxa"/>
            <w:vAlign w:val="bottom"/>
            <w:shd w:val="clear" w:color="auto" w:fill="CCECFF"/>
          </w:tcPr>
          <w:p>
            <w:pPr>
              <w:spacing w:after="0"/>
              <w:rPr>
                <w:sz w:val="12"/>
                <w:szCs w:val="12"/>
                <w:color w:val="auto"/>
              </w:rPr>
            </w:pPr>
          </w:p>
        </w:tc>
        <w:tc>
          <w:tcPr>
            <w:tcW w:w="38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200" w:type="dxa"/>
            <w:vAlign w:val="bottom"/>
            <w:shd w:val="clear" w:color="auto" w:fill="CCECFF"/>
          </w:tcPr>
          <w:p>
            <w:pPr>
              <w:jc w:val="center"/>
              <w:ind w:left="33"/>
              <w:spacing w:after="0" w:line="147" w:lineRule="exact"/>
              <w:rPr>
                <w:sz w:val="20"/>
                <w:szCs w:val="20"/>
                <w:color w:val="auto"/>
              </w:rPr>
            </w:pPr>
            <w:r>
              <w:rPr>
                <w:rFonts w:ascii="Times New Roman" w:cs="Times New Roman" w:eastAsia="Times New Roman" w:hAnsi="Times New Roman"/>
                <w:sz w:val="13"/>
                <w:szCs w:val="13"/>
                <w:color w:val="auto"/>
              </w:rPr>
              <w:t>partially financing</w:t>
            </w:r>
          </w:p>
        </w:tc>
        <w:tc>
          <w:tcPr>
            <w:tcW w:w="0" w:type="dxa"/>
            <w:vAlign w:val="bottom"/>
          </w:tcPr>
          <w:p>
            <w:pPr>
              <w:spacing w:after="0"/>
              <w:rPr>
                <w:sz w:val="1"/>
                <w:szCs w:val="1"/>
                <w:color w:val="auto"/>
              </w:rPr>
            </w:pPr>
          </w:p>
        </w:tc>
      </w:tr>
      <w:tr>
        <w:trPr>
          <w:trHeight w:val="160"/>
        </w:trPr>
        <w:tc>
          <w:tcPr>
            <w:tcW w:w="1460" w:type="dxa"/>
            <w:vAlign w:val="bottom"/>
            <w:shd w:val="clear" w:color="auto" w:fill="CCECFF"/>
          </w:tcPr>
          <w:p>
            <w:pPr>
              <w:jc w:val="center"/>
              <w:ind w:left="93"/>
              <w:spacing w:after="0"/>
              <w:rPr>
                <w:sz w:val="20"/>
                <w:szCs w:val="20"/>
                <w:color w:val="auto"/>
              </w:rPr>
            </w:pPr>
            <w:r>
              <w:rPr>
                <w:rFonts w:ascii="Times New Roman" w:cs="Times New Roman" w:eastAsia="Times New Roman" w:hAnsi="Times New Roman"/>
                <w:sz w:val="13"/>
                <w:szCs w:val="13"/>
                <w:color w:val="auto"/>
              </w:rPr>
              <w:t>MG/C Andrianos</w:t>
            </w:r>
          </w:p>
        </w:tc>
        <w:tc>
          <w:tcPr>
            <w:tcW w:w="380" w:type="dxa"/>
            <w:vAlign w:val="bottom"/>
            <w:shd w:val="clear" w:color="auto" w:fill="CCECFF"/>
          </w:tcPr>
          <w:p>
            <w:pPr>
              <w:spacing w:after="0"/>
              <w:rPr>
                <w:sz w:val="13"/>
                <w:szCs w:val="13"/>
                <w:color w:val="auto"/>
              </w:rPr>
            </w:pP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45,726</w:t>
            </w:r>
          </w:p>
        </w:tc>
        <w:tc>
          <w:tcPr>
            <w:tcW w:w="280" w:type="dxa"/>
            <w:vAlign w:val="bottom"/>
            <w:shd w:val="clear" w:color="auto" w:fill="CCECFF"/>
          </w:tcPr>
          <w:p>
            <w:pPr>
              <w:spacing w:after="0"/>
              <w:rPr>
                <w:sz w:val="13"/>
                <w:szCs w:val="13"/>
                <w:color w:val="auto"/>
              </w:rPr>
            </w:pPr>
          </w:p>
        </w:tc>
        <w:tc>
          <w:tcPr>
            <w:tcW w:w="1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55,525</w:t>
            </w:r>
          </w:p>
        </w:tc>
        <w:tc>
          <w:tcPr>
            <w:tcW w:w="260" w:type="dxa"/>
            <w:vAlign w:val="bottom"/>
            <w:shd w:val="clear" w:color="auto" w:fill="CCECFF"/>
          </w:tcPr>
          <w:p>
            <w:pPr>
              <w:spacing w:after="0"/>
              <w:rPr>
                <w:sz w:val="13"/>
                <w:szCs w:val="13"/>
                <w:color w:val="auto"/>
              </w:rPr>
            </w:pP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572</w:t>
            </w:r>
          </w:p>
        </w:tc>
        <w:tc>
          <w:tcPr>
            <w:tcW w:w="320" w:type="dxa"/>
            <w:vAlign w:val="bottom"/>
            <w:shd w:val="clear" w:color="auto" w:fill="CCECFF"/>
          </w:tcPr>
          <w:p>
            <w:pPr>
              <w:spacing w:after="0"/>
              <w:rPr>
                <w:sz w:val="13"/>
                <w:szCs w:val="13"/>
                <w:color w:val="auto"/>
              </w:rPr>
            </w:pP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694</w:t>
            </w:r>
          </w:p>
        </w:tc>
        <w:tc>
          <w:tcPr>
            <w:tcW w:w="320" w:type="dxa"/>
            <w:vAlign w:val="bottom"/>
            <w:shd w:val="clear" w:color="auto" w:fill="CCECFF"/>
          </w:tcPr>
          <w:p>
            <w:pPr>
              <w:spacing w:after="0"/>
              <w:rPr>
                <w:sz w:val="13"/>
                <w:szCs w:val="13"/>
                <w:color w:val="auto"/>
              </w:rPr>
            </w:pP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29,722</w:t>
            </w:r>
          </w:p>
        </w:tc>
        <w:tc>
          <w:tcPr>
            <w:tcW w:w="320" w:type="dxa"/>
            <w:vAlign w:val="bottom"/>
            <w:shd w:val="clear" w:color="auto" w:fill="CCECFF"/>
          </w:tcPr>
          <w:p>
            <w:pPr>
              <w:spacing w:after="0"/>
              <w:rPr>
                <w:sz w:val="13"/>
                <w:szCs w:val="13"/>
                <w:color w:val="auto"/>
              </w:rPr>
            </w:pPr>
          </w:p>
        </w:tc>
        <w:tc>
          <w:tcPr>
            <w:tcW w:w="1040" w:type="dxa"/>
            <w:vAlign w:val="bottom"/>
            <w:shd w:val="clear" w:color="auto" w:fill="CCECFF"/>
          </w:tcPr>
          <w:p>
            <w:pPr>
              <w:jc w:val="center"/>
              <w:ind w:right="33"/>
              <w:spacing w:after="0"/>
              <w:rPr>
                <w:sz w:val="20"/>
                <w:szCs w:val="20"/>
                <w:color w:val="auto"/>
              </w:rPr>
            </w:pPr>
            <w:r>
              <w:rPr>
                <w:rFonts w:ascii="Times New Roman" w:cs="Times New Roman" w:eastAsia="Times New Roman" w:hAnsi="Times New Roman"/>
                <w:sz w:val="13"/>
                <w:szCs w:val="13"/>
                <w:color w:val="auto"/>
              </w:rPr>
              <w:t>36,091</w:t>
            </w:r>
          </w:p>
        </w:tc>
        <w:tc>
          <w:tcPr>
            <w:tcW w:w="1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1"/>
              </w:rPr>
              <w:t>7</w:t>
            </w:r>
          </w:p>
        </w:tc>
        <w:tc>
          <w:tcPr>
            <w:tcW w:w="1200" w:type="dxa"/>
            <w:vAlign w:val="bottom"/>
            <w:shd w:val="clear" w:color="auto" w:fill="CCECFF"/>
          </w:tcPr>
          <w:p>
            <w:pPr>
              <w:jc w:val="center"/>
              <w:ind w:left="13"/>
              <w:spacing w:after="0"/>
              <w:rPr>
                <w:sz w:val="20"/>
                <w:szCs w:val="20"/>
                <w:color w:val="auto"/>
              </w:rPr>
            </w:pPr>
            <w:r>
              <w:rPr>
                <w:rFonts w:ascii="Times New Roman" w:cs="Times New Roman" w:eastAsia="Times New Roman" w:hAnsi="Times New Roman"/>
                <w:sz w:val="13"/>
                <w:szCs w:val="13"/>
                <w:color w:val="auto"/>
              </w:rPr>
              <w:t>the delivery from</w:t>
            </w:r>
          </w:p>
        </w:tc>
        <w:tc>
          <w:tcPr>
            <w:tcW w:w="0" w:type="dxa"/>
            <w:vAlign w:val="bottom"/>
          </w:tcPr>
          <w:p>
            <w:pPr>
              <w:spacing w:after="0"/>
              <w:rPr>
                <w:sz w:val="1"/>
                <w:szCs w:val="1"/>
                <w:color w:val="auto"/>
              </w:rPr>
            </w:pPr>
          </w:p>
        </w:tc>
      </w:tr>
      <w:tr>
        <w:trPr>
          <w:trHeight w:val="173"/>
        </w:trPr>
        <w:tc>
          <w:tcPr>
            <w:tcW w:w="146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88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1200" w:type="dxa"/>
            <w:vAlign w:val="bottom"/>
            <w:shd w:val="clear" w:color="auto" w:fill="CCECFF"/>
          </w:tcPr>
          <w:p>
            <w:pPr>
              <w:jc w:val="center"/>
              <w:ind w:left="33"/>
              <w:spacing w:after="0"/>
              <w:rPr>
                <w:sz w:val="20"/>
                <w:szCs w:val="20"/>
                <w:color w:val="auto"/>
              </w:rPr>
            </w:pPr>
            <w:r>
              <w:rPr>
                <w:rFonts w:ascii="Times New Roman" w:cs="Times New Roman" w:eastAsia="Times New Roman" w:hAnsi="Times New Roman"/>
                <w:sz w:val="13"/>
                <w:szCs w:val="13"/>
                <w:color w:val="auto"/>
              </w:rPr>
              <w:t>the shipyard</w:t>
            </w:r>
          </w:p>
        </w:tc>
        <w:tc>
          <w:tcPr>
            <w:tcW w:w="0" w:type="dxa"/>
            <w:vAlign w:val="bottom"/>
          </w:tcPr>
          <w:p>
            <w:pPr>
              <w:spacing w:after="0"/>
              <w:rPr>
                <w:sz w:val="1"/>
                <w:szCs w:val="1"/>
                <w:color w:val="auto"/>
              </w:rPr>
            </w:pPr>
          </w:p>
        </w:tc>
      </w:tr>
      <w:tr>
        <w:trPr>
          <w:trHeight w:val="100"/>
        </w:trPr>
        <w:tc>
          <w:tcPr>
            <w:tcW w:w="1460" w:type="dxa"/>
            <w:vAlign w:val="bottom"/>
            <w:shd w:val="clear" w:color="auto" w:fill="CCECFF"/>
          </w:tcPr>
          <w:p>
            <w:pPr>
              <w:spacing w:after="0"/>
              <w:rPr>
                <w:sz w:val="8"/>
                <w:szCs w:val="8"/>
                <w:color w:val="auto"/>
              </w:rPr>
            </w:pPr>
          </w:p>
        </w:tc>
        <w:tc>
          <w:tcPr>
            <w:tcW w:w="380" w:type="dxa"/>
            <w:vAlign w:val="bottom"/>
            <w:shd w:val="clear" w:color="auto" w:fill="CCECFF"/>
          </w:tcPr>
          <w:p>
            <w:pPr>
              <w:spacing w:after="0"/>
              <w:rPr>
                <w:sz w:val="8"/>
                <w:szCs w:val="8"/>
                <w:color w:val="auto"/>
              </w:rPr>
            </w:pPr>
          </w:p>
        </w:tc>
        <w:tc>
          <w:tcPr>
            <w:tcW w:w="880" w:type="dxa"/>
            <w:vAlign w:val="bottom"/>
            <w:shd w:val="clear" w:color="auto" w:fill="CCECFF"/>
          </w:tcPr>
          <w:p>
            <w:pPr>
              <w:spacing w:after="0"/>
              <w:rPr>
                <w:sz w:val="8"/>
                <w:szCs w:val="8"/>
                <w:color w:val="auto"/>
              </w:rPr>
            </w:pPr>
          </w:p>
        </w:tc>
        <w:tc>
          <w:tcPr>
            <w:tcW w:w="280" w:type="dxa"/>
            <w:vAlign w:val="bottom"/>
            <w:shd w:val="clear" w:color="auto" w:fill="CCECFF"/>
          </w:tcPr>
          <w:p>
            <w:pPr>
              <w:spacing w:after="0"/>
              <w:rPr>
                <w:sz w:val="8"/>
                <w:szCs w:val="8"/>
                <w:color w:val="auto"/>
              </w:rPr>
            </w:pPr>
          </w:p>
        </w:tc>
        <w:tc>
          <w:tcPr>
            <w:tcW w:w="1040" w:type="dxa"/>
            <w:vAlign w:val="bottom"/>
            <w:shd w:val="clear" w:color="auto" w:fill="CCECFF"/>
          </w:tcPr>
          <w:p>
            <w:pPr>
              <w:spacing w:after="0"/>
              <w:rPr>
                <w:sz w:val="8"/>
                <w:szCs w:val="8"/>
                <w:color w:val="auto"/>
              </w:rPr>
            </w:pPr>
          </w:p>
        </w:tc>
        <w:tc>
          <w:tcPr>
            <w:tcW w:w="260" w:type="dxa"/>
            <w:vAlign w:val="bottom"/>
            <w:shd w:val="clear" w:color="auto" w:fill="CCECFF"/>
          </w:tcPr>
          <w:p>
            <w:pPr>
              <w:spacing w:after="0"/>
              <w:rPr>
                <w:sz w:val="8"/>
                <w:szCs w:val="8"/>
                <w:color w:val="auto"/>
              </w:rPr>
            </w:pPr>
          </w:p>
        </w:tc>
        <w:tc>
          <w:tcPr>
            <w:tcW w:w="900" w:type="dxa"/>
            <w:vAlign w:val="bottom"/>
            <w:shd w:val="clear" w:color="auto" w:fill="CCECFF"/>
          </w:tcPr>
          <w:p>
            <w:pPr>
              <w:spacing w:after="0"/>
              <w:rPr>
                <w:sz w:val="8"/>
                <w:szCs w:val="8"/>
                <w:color w:val="auto"/>
              </w:rPr>
            </w:pPr>
          </w:p>
        </w:tc>
        <w:tc>
          <w:tcPr>
            <w:tcW w:w="320" w:type="dxa"/>
            <w:vAlign w:val="bottom"/>
            <w:shd w:val="clear" w:color="auto" w:fill="CCECFF"/>
          </w:tcPr>
          <w:p>
            <w:pPr>
              <w:spacing w:after="0"/>
              <w:rPr>
                <w:sz w:val="8"/>
                <w:szCs w:val="8"/>
                <w:color w:val="auto"/>
              </w:rPr>
            </w:pPr>
          </w:p>
        </w:tc>
        <w:tc>
          <w:tcPr>
            <w:tcW w:w="940" w:type="dxa"/>
            <w:vAlign w:val="bottom"/>
            <w:shd w:val="clear" w:color="auto" w:fill="CCECFF"/>
          </w:tcPr>
          <w:p>
            <w:pPr>
              <w:spacing w:after="0"/>
              <w:rPr>
                <w:sz w:val="8"/>
                <w:szCs w:val="8"/>
                <w:color w:val="auto"/>
              </w:rPr>
            </w:pPr>
          </w:p>
        </w:tc>
        <w:tc>
          <w:tcPr>
            <w:tcW w:w="320" w:type="dxa"/>
            <w:vAlign w:val="bottom"/>
            <w:shd w:val="clear" w:color="auto" w:fill="CCECFF"/>
          </w:tcPr>
          <w:p>
            <w:pPr>
              <w:spacing w:after="0"/>
              <w:rPr>
                <w:sz w:val="8"/>
                <w:szCs w:val="8"/>
                <w:color w:val="auto"/>
              </w:rPr>
            </w:pPr>
          </w:p>
        </w:tc>
        <w:tc>
          <w:tcPr>
            <w:tcW w:w="900" w:type="dxa"/>
            <w:vAlign w:val="bottom"/>
            <w:shd w:val="clear" w:color="auto" w:fill="CCECFF"/>
          </w:tcPr>
          <w:p>
            <w:pPr>
              <w:spacing w:after="0"/>
              <w:rPr>
                <w:sz w:val="8"/>
                <w:szCs w:val="8"/>
                <w:color w:val="auto"/>
              </w:rPr>
            </w:pPr>
          </w:p>
        </w:tc>
        <w:tc>
          <w:tcPr>
            <w:tcW w:w="320" w:type="dxa"/>
            <w:vAlign w:val="bottom"/>
            <w:shd w:val="clear" w:color="auto" w:fill="CCECFF"/>
          </w:tcPr>
          <w:p>
            <w:pPr>
              <w:spacing w:after="0"/>
              <w:rPr>
                <w:sz w:val="8"/>
                <w:szCs w:val="8"/>
                <w:color w:val="auto"/>
              </w:rPr>
            </w:pPr>
          </w:p>
        </w:tc>
        <w:tc>
          <w:tcPr>
            <w:tcW w:w="1040" w:type="dxa"/>
            <w:vAlign w:val="bottom"/>
            <w:shd w:val="clear" w:color="auto" w:fill="CCECFF"/>
          </w:tcPr>
          <w:p>
            <w:pPr>
              <w:spacing w:after="0"/>
              <w:rPr>
                <w:sz w:val="8"/>
                <w:szCs w:val="8"/>
                <w:color w:val="auto"/>
              </w:rPr>
            </w:pPr>
          </w:p>
        </w:tc>
        <w:tc>
          <w:tcPr>
            <w:tcW w:w="1040" w:type="dxa"/>
            <w:vAlign w:val="bottom"/>
            <w:shd w:val="clear" w:color="auto" w:fill="CCECFF"/>
          </w:tcPr>
          <w:p>
            <w:pPr>
              <w:spacing w:after="0"/>
              <w:rPr>
                <w:sz w:val="8"/>
                <w:szCs w:val="8"/>
                <w:color w:val="auto"/>
              </w:rPr>
            </w:pPr>
          </w:p>
        </w:tc>
        <w:tc>
          <w:tcPr>
            <w:tcW w:w="12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1"/>
              </w:rPr>
              <w:t>7</w:t>
            </w:r>
          </w:p>
        </w:tc>
        <w:tc>
          <w:tcPr>
            <w:tcW w:w="1200" w:type="dxa"/>
            <w:vAlign w:val="bottom"/>
          </w:tcPr>
          <w:p>
            <w:pPr>
              <w:jc w:val="center"/>
              <w:ind w:left="33"/>
              <w:spacing w:after="0" w:line="147" w:lineRule="exact"/>
              <w:rPr>
                <w:sz w:val="20"/>
                <w:szCs w:val="20"/>
                <w:color w:val="auto"/>
              </w:rPr>
            </w:pPr>
            <w:r>
              <w:rPr>
                <w:rFonts w:ascii="Times New Roman" w:cs="Times New Roman" w:eastAsia="Times New Roman" w:hAnsi="Times New Roman"/>
                <w:sz w:val="13"/>
                <w:szCs w:val="13"/>
                <w:color w:val="auto"/>
              </w:rPr>
              <w:t>partially financing</w:t>
            </w:r>
          </w:p>
        </w:tc>
        <w:tc>
          <w:tcPr>
            <w:tcW w:w="0" w:type="dxa"/>
            <w:vAlign w:val="bottom"/>
          </w:tcPr>
          <w:p>
            <w:pPr>
              <w:spacing w:after="0"/>
              <w:rPr>
                <w:sz w:val="1"/>
                <w:szCs w:val="1"/>
                <w:color w:val="auto"/>
              </w:rPr>
            </w:pPr>
          </w:p>
        </w:tc>
      </w:tr>
      <w:tr>
        <w:trPr>
          <w:trHeight w:val="93"/>
        </w:trPr>
        <w:tc>
          <w:tcPr>
            <w:tcW w:w="1460" w:type="dxa"/>
            <w:vAlign w:val="bottom"/>
            <w:vMerge w:val="restart"/>
          </w:tcPr>
          <w:p>
            <w:pPr>
              <w:jc w:val="center"/>
              <w:ind w:left="53"/>
              <w:spacing w:after="0"/>
              <w:rPr>
                <w:sz w:val="20"/>
                <w:szCs w:val="20"/>
                <w:color w:val="auto"/>
              </w:rPr>
            </w:pPr>
            <w:r>
              <w:rPr>
                <w:rFonts w:ascii="Times New Roman" w:cs="Times New Roman" w:eastAsia="Times New Roman" w:hAnsi="Times New Roman"/>
                <w:sz w:val="13"/>
                <w:szCs w:val="13"/>
                <w:color w:val="auto"/>
              </w:rPr>
              <w:t>MG/C Anios</w:t>
            </w:r>
          </w:p>
        </w:tc>
        <w:tc>
          <w:tcPr>
            <w:tcW w:w="380" w:type="dxa"/>
            <w:vAlign w:val="bottom"/>
          </w:tcPr>
          <w:p>
            <w:pPr>
              <w:spacing w:after="0"/>
              <w:rPr>
                <w:sz w:val="8"/>
                <w:szCs w:val="8"/>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45,726</w:t>
            </w:r>
          </w:p>
        </w:tc>
        <w:tc>
          <w:tcPr>
            <w:tcW w:w="280" w:type="dxa"/>
            <w:vAlign w:val="bottom"/>
          </w:tcPr>
          <w:p>
            <w:pPr>
              <w:spacing w:after="0"/>
              <w:rPr>
                <w:sz w:val="8"/>
                <w:szCs w:val="8"/>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55,525</w:t>
            </w:r>
          </w:p>
        </w:tc>
        <w:tc>
          <w:tcPr>
            <w:tcW w:w="260" w:type="dxa"/>
            <w:vAlign w:val="bottom"/>
          </w:tcPr>
          <w:p>
            <w:pPr>
              <w:spacing w:after="0"/>
              <w:rPr>
                <w:sz w:val="8"/>
                <w:szCs w:val="8"/>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572</w:t>
            </w:r>
          </w:p>
        </w:tc>
        <w:tc>
          <w:tcPr>
            <w:tcW w:w="320" w:type="dxa"/>
            <w:vAlign w:val="bottom"/>
          </w:tcPr>
          <w:p>
            <w:pPr>
              <w:spacing w:after="0"/>
              <w:rPr>
                <w:sz w:val="8"/>
                <w:szCs w:val="8"/>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694</w:t>
            </w:r>
          </w:p>
        </w:tc>
        <w:tc>
          <w:tcPr>
            <w:tcW w:w="320" w:type="dxa"/>
            <w:vAlign w:val="bottom"/>
          </w:tcPr>
          <w:p>
            <w:pPr>
              <w:spacing w:after="0"/>
              <w:rPr>
                <w:sz w:val="8"/>
                <w:szCs w:val="8"/>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29,722</w:t>
            </w:r>
          </w:p>
        </w:tc>
        <w:tc>
          <w:tcPr>
            <w:tcW w:w="320" w:type="dxa"/>
            <w:vAlign w:val="bottom"/>
          </w:tcPr>
          <w:p>
            <w:pPr>
              <w:spacing w:after="0"/>
              <w:rPr>
                <w:sz w:val="8"/>
                <w:szCs w:val="8"/>
                <w:color w:val="auto"/>
              </w:rPr>
            </w:pPr>
          </w:p>
        </w:tc>
        <w:tc>
          <w:tcPr>
            <w:tcW w:w="1040" w:type="dxa"/>
            <w:vAlign w:val="bottom"/>
            <w:vMerge w:val="restart"/>
          </w:tcPr>
          <w:p>
            <w:pPr>
              <w:jc w:val="center"/>
              <w:ind w:right="33"/>
              <w:spacing w:after="0"/>
              <w:rPr>
                <w:sz w:val="20"/>
                <w:szCs w:val="20"/>
                <w:color w:val="auto"/>
              </w:rPr>
            </w:pPr>
            <w:r>
              <w:rPr>
                <w:rFonts w:ascii="Times New Roman" w:cs="Times New Roman" w:eastAsia="Times New Roman" w:hAnsi="Times New Roman"/>
                <w:sz w:val="13"/>
                <w:szCs w:val="13"/>
                <w:color w:val="auto"/>
              </w:rPr>
              <w:t>36,091</w:t>
            </w:r>
          </w:p>
        </w:tc>
        <w:tc>
          <w:tcPr>
            <w:tcW w:w="1040" w:type="dxa"/>
            <w:vAlign w:val="bottom"/>
            <w:vMerge w:val="continue"/>
          </w:tcPr>
          <w:p>
            <w:pPr>
              <w:spacing w:after="0"/>
              <w:rPr>
                <w:sz w:val="8"/>
                <w:szCs w:val="8"/>
                <w:color w:val="auto"/>
              </w:rPr>
            </w:pPr>
          </w:p>
        </w:tc>
        <w:tc>
          <w:tcPr>
            <w:tcW w:w="1200" w:type="dxa"/>
            <w:vAlign w:val="bottom"/>
            <w:vMerge w:val="restart"/>
          </w:tcPr>
          <w:p>
            <w:pPr>
              <w:jc w:val="center"/>
              <w:ind w:left="13"/>
              <w:spacing w:after="0"/>
              <w:rPr>
                <w:sz w:val="20"/>
                <w:szCs w:val="20"/>
                <w:color w:val="auto"/>
              </w:rPr>
            </w:pPr>
            <w:r>
              <w:rPr>
                <w:rFonts w:ascii="Times New Roman" w:cs="Times New Roman" w:eastAsia="Times New Roman" w:hAnsi="Times New Roman"/>
                <w:sz w:val="13"/>
                <w:szCs w:val="13"/>
                <w:color w:val="auto"/>
              </w:rPr>
              <w:t>the delivery from</w:t>
            </w:r>
          </w:p>
        </w:tc>
        <w:tc>
          <w:tcPr>
            <w:tcW w:w="0" w:type="dxa"/>
            <w:vAlign w:val="bottom"/>
          </w:tcPr>
          <w:p>
            <w:pPr>
              <w:spacing w:after="0"/>
              <w:rPr>
                <w:sz w:val="1"/>
                <w:szCs w:val="1"/>
                <w:color w:val="auto"/>
              </w:rPr>
            </w:pPr>
          </w:p>
        </w:tc>
      </w:tr>
      <w:tr>
        <w:trPr>
          <w:trHeight w:val="80"/>
        </w:trPr>
        <w:tc>
          <w:tcPr>
            <w:tcW w:w="146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0400"/>
        <w:spacing w:after="0"/>
        <w:rPr>
          <w:sz w:val="20"/>
          <w:szCs w:val="20"/>
          <w:color w:val="auto"/>
        </w:rPr>
      </w:pPr>
      <w:r>
        <w:rPr>
          <w:rFonts w:ascii="Times New Roman" w:cs="Times New Roman" w:eastAsia="Times New Roman" w:hAnsi="Times New Roman"/>
          <w:sz w:val="13"/>
          <w:szCs w:val="13"/>
          <w:color w:val="auto"/>
        </w:rPr>
        <w:t>the shipyard</w:t>
      </w:r>
    </w:p>
    <w:p>
      <w:pPr>
        <w:spacing w:after="0" w:line="25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On June 26, 2025, the vessel-owning companies of two LCO2 – HMG/Cs currently under construction (Note 1, 6B), entered into a new credit facility, the “2025 - LCO2 – HMG/C Amadeus, Athenian credit facility”. The Company is acting as a parent guarantor. The following table presents an analysis of the main terms of the credit facility: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Financing</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Quarterly</w:t>
            </w: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vMerge w:val="restart"/>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Balloon if long-</w:t>
            </w: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if long-</w:t>
            </w: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Instalment if</w:t>
            </w: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Financing</w:t>
            </w:r>
          </w:p>
        </w:tc>
        <w:tc>
          <w:tcPr>
            <w:tcW w:w="2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Quarterly</w:t>
            </w: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vMerge w:val="restart"/>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7"/>
              </w:rPr>
              <w:t>term</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Duration in</w:t>
            </w: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Vessel</w:t>
            </w:r>
          </w:p>
        </w:tc>
        <w:tc>
          <w:tcPr>
            <w:tcW w:w="2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term</w:t>
            </w: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restart"/>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long-term</w:t>
            </w:r>
          </w:p>
        </w:tc>
        <w:tc>
          <w:tcPr>
            <w:tcW w:w="360" w:type="dxa"/>
            <w:vAlign w:val="bottom"/>
          </w:tcPr>
          <w:p>
            <w:pPr>
              <w:spacing w:after="0"/>
              <w:rPr>
                <w:sz w:val="6"/>
                <w:szCs w:val="6"/>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Balloon</w:t>
            </w:r>
          </w:p>
        </w:tc>
        <w:tc>
          <w:tcPr>
            <w:tcW w:w="3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Purpose</w:t>
            </w:r>
          </w:p>
        </w:tc>
        <w:tc>
          <w:tcPr>
            <w:tcW w:w="0" w:type="dxa"/>
            <w:vAlign w:val="bottom"/>
          </w:tcPr>
          <w:p>
            <w:pPr>
              <w:spacing w:after="0"/>
              <w:rPr>
                <w:sz w:val="1"/>
                <w:szCs w:val="1"/>
                <w:color w:val="auto"/>
              </w:rPr>
            </w:pPr>
          </w:p>
        </w:tc>
      </w:tr>
      <w:tr>
        <w:trPr>
          <w:trHeight w:val="80"/>
        </w:trPr>
        <w:tc>
          <w:tcPr>
            <w:tcW w:w="15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Instalment</w:t>
            </w: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vMerge w:val="restart"/>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employment</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years</w:t>
            </w:r>
          </w:p>
        </w:tc>
        <w:tc>
          <w:tcPr>
            <w:tcW w:w="2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employment</w:t>
            </w: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employment</w:t>
            </w: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vMerge w:val="restart"/>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8"/>
              </w:rPr>
              <w:t>secured</w:t>
            </w: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secured</w:t>
            </w: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vMerge w:val="restart"/>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secured</w:t>
            </w: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15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56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LCO2 – HMG/C Amadeus</w:t>
            </w: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104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36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12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1200" w:type="dxa"/>
            <w:vAlign w:val="bottom"/>
            <w:gridSpan w:val="2"/>
            <w:shd w:val="clear" w:color="auto" w:fill="CCECFF"/>
          </w:tcPr>
          <w:p>
            <w:pPr>
              <w:jc w:val="center"/>
              <w:ind w:left="33"/>
              <w:spacing w:after="0" w:line="137" w:lineRule="exact"/>
              <w:rPr>
                <w:sz w:val="20"/>
                <w:szCs w:val="20"/>
                <w:color w:val="auto"/>
              </w:rPr>
            </w:pPr>
            <w:r>
              <w:rPr>
                <w:rFonts w:ascii="Times New Roman" w:cs="Times New Roman" w:eastAsia="Times New Roman" w:hAnsi="Times New Roman"/>
                <w:sz w:val="13"/>
                <w:szCs w:val="13"/>
                <w:color w:val="auto"/>
              </w:rPr>
              <w:t>partially financing</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60" w:type="dxa"/>
            <w:vAlign w:val="bottom"/>
            <w:vMerge w:val="continue"/>
            <w:shd w:val="clear" w:color="auto" w:fill="CCECFF"/>
          </w:tcPr>
          <w:p>
            <w:pPr>
              <w:spacing w:after="0"/>
              <w:rPr>
                <w:sz w:val="11"/>
                <w:szCs w:val="11"/>
                <w:color w:val="auto"/>
              </w:rPr>
            </w:pPr>
          </w:p>
        </w:tc>
        <w:tc>
          <w:tcPr>
            <w:tcW w:w="280" w:type="dxa"/>
            <w:vAlign w:val="bottom"/>
            <w:shd w:val="clear" w:color="auto" w:fill="CCECFF"/>
          </w:tcPr>
          <w:p>
            <w:pPr>
              <w:jc w:val="right"/>
              <w:ind w:right="93"/>
              <w:spacing w:after="0" w:line="133"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CFF"/>
          </w:tcPr>
          <w:p>
            <w:pPr>
              <w:jc w:val="center"/>
              <w:spacing w:after="0" w:line="133" w:lineRule="exact"/>
              <w:rPr>
                <w:sz w:val="20"/>
                <w:szCs w:val="20"/>
                <w:color w:val="auto"/>
              </w:rPr>
            </w:pPr>
            <w:r>
              <w:rPr>
                <w:rFonts w:ascii="Times New Roman" w:cs="Times New Roman" w:eastAsia="Times New Roman" w:hAnsi="Times New Roman"/>
                <w:sz w:val="13"/>
                <w:szCs w:val="13"/>
                <w:color w:val="auto"/>
              </w:rPr>
              <w:t>101,702</w:t>
            </w:r>
          </w:p>
        </w:tc>
        <w:tc>
          <w:tcPr>
            <w:tcW w:w="2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CFF"/>
          </w:tcPr>
          <w:p>
            <w:pPr>
              <w:jc w:val="center"/>
              <w:spacing w:after="0" w:line="133" w:lineRule="exact"/>
              <w:rPr>
                <w:sz w:val="20"/>
                <w:szCs w:val="20"/>
                <w:color w:val="auto"/>
              </w:rPr>
            </w:pPr>
            <w:r>
              <w:rPr>
                <w:rFonts w:ascii="Times New Roman" w:cs="Times New Roman" w:eastAsia="Times New Roman" w:hAnsi="Times New Roman"/>
                <w:sz w:val="13"/>
                <w:szCs w:val="13"/>
                <w:color w:val="auto"/>
              </w:rPr>
              <w:t>117,349</w:t>
            </w:r>
          </w:p>
        </w:tc>
        <w:tc>
          <w:tcPr>
            <w:tcW w:w="260" w:type="dxa"/>
            <w:vAlign w:val="bottom"/>
            <w:shd w:val="clear" w:color="auto" w:fill="CCECFF"/>
          </w:tcPr>
          <w:p>
            <w:pPr>
              <w:jc w:val="right"/>
              <w:ind w:right="53"/>
              <w:spacing w:after="0" w:line="133"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CFF"/>
          </w:tcPr>
          <w:p>
            <w:pPr>
              <w:jc w:val="center"/>
              <w:spacing w:after="0" w:line="133" w:lineRule="exact"/>
              <w:rPr>
                <w:sz w:val="20"/>
                <w:szCs w:val="20"/>
                <w:color w:val="auto"/>
              </w:rPr>
            </w:pPr>
            <w:r>
              <w:rPr>
                <w:rFonts w:ascii="Times New Roman" w:cs="Times New Roman" w:eastAsia="Times New Roman" w:hAnsi="Times New Roman"/>
                <w:sz w:val="13"/>
                <w:szCs w:val="13"/>
                <w:color w:val="auto"/>
              </w:rPr>
              <w:t>1,271</w:t>
            </w:r>
          </w:p>
        </w:tc>
        <w:tc>
          <w:tcPr>
            <w:tcW w:w="26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CFF"/>
          </w:tcPr>
          <w:p>
            <w:pPr>
              <w:jc w:val="center"/>
              <w:spacing w:after="0" w:line="133" w:lineRule="exact"/>
              <w:rPr>
                <w:sz w:val="20"/>
                <w:szCs w:val="20"/>
                <w:color w:val="auto"/>
              </w:rPr>
            </w:pPr>
            <w:r>
              <w:rPr>
                <w:rFonts w:ascii="Times New Roman" w:cs="Times New Roman" w:eastAsia="Times New Roman" w:hAnsi="Times New Roman"/>
                <w:sz w:val="13"/>
                <w:szCs w:val="13"/>
                <w:color w:val="auto"/>
              </w:rPr>
              <w:t>1,467</w:t>
            </w:r>
          </w:p>
        </w:tc>
        <w:tc>
          <w:tcPr>
            <w:tcW w:w="360" w:type="dxa"/>
            <w:vAlign w:val="bottom"/>
            <w:shd w:val="clear" w:color="auto" w:fill="CCECFF"/>
          </w:tcPr>
          <w:p>
            <w:pPr>
              <w:jc w:val="right"/>
              <w:ind w:right="113"/>
              <w:spacing w:after="0" w:line="133"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CFF"/>
          </w:tcPr>
          <w:p>
            <w:pPr>
              <w:jc w:val="right"/>
              <w:ind w:right="153"/>
              <w:spacing w:after="0" w:line="133" w:lineRule="exact"/>
              <w:rPr>
                <w:sz w:val="20"/>
                <w:szCs w:val="20"/>
                <w:color w:val="auto"/>
              </w:rPr>
            </w:pPr>
            <w:r>
              <w:rPr>
                <w:rFonts w:ascii="Times New Roman" w:cs="Times New Roman" w:eastAsia="Times New Roman" w:hAnsi="Times New Roman"/>
                <w:sz w:val="13"/>
                <w:szCs w:val="13"/>
                <w:color w:val="auto"/>
              </w:rPr>
              <w:t>76,277</w:t>
            </w:r>
          </w:p>
        </w:tc>
        <w:tc>
          <w:tcPr>
            <w:tcW w:w="320" w:type="dxa"/>
            <w:vAlign w:val="bottom"/>
            <w:shd w:val="clear" w:color="auto" w:fill="CCECFF"/>
          </w:tcPr>
          <w:p>
            <w:pPr>
              <w:jc w:val="right"/>
              <w:ind w:right="13"/>
              <w:spacing w:after="0" w:line="133"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CFF"/>
          </w:tcPr>
          <w:p>
            <w:pPr>
              <w:jc w:val="center"/>
              <w:ind w:right="53"/>
              <w:spacing w:after="0" w:line="133" w:lineRule="exact"/>
              <w:rPr>
                <w:sz w:val="20"/>
                <w:szCs w:val="20"/>
                <w:color w:val="auto"/>
              </w:rPr>
            </w:pPr>
            <w:r>
              <w:rPr>
                <w:rFonts w:ascii="Times New Roman" w:cs="Times New Roman" w:eastAsia="Times New Roman" w:hAnsi="Times New Roman"/>
                <w:sz w:val="13"/>
                <w:szCs w:val="13"/>
                <w:color w:val="auto"/>
              </w:rPr>
              <w:t>88,011</w:t>
            </w:r>
          </w:p>
        </w:tc>
        <w:tc>
          <w:tcPr>
            <w:tcW w:w="1000" w:type="dxa"/>
            <w:vAlign w:val="bottom"/>
            <w:shd w:val="clear" w:color="auto" w:fill="CCECFF"/>
          </w:tcPr>
          <w:p>
            <w:pPr>
              <w:jc w:val="center"/>
              <w:spacing w:after="0" w:line="133" w:lineRule="exact"/>
              <w:rPr>
                <w:sz w:val="20"/>
                <w:szCs w:val="20"/>
                <w:color w:val="auto"/>
              </w:rPr>
            </w:pPr>
            <w:r>
              <w:rPr>
                <w:rFonts w:ascii="Times New Roman" w:cs="Times New Roman" w:eastAsia="Times New Roman" w:hAnsi="Times New Roman"/>
                <w:sz w:val="13"/>
                <w:szCs w:val="13"/>
                <w:color w:val="auto"/>
                <w:w w:val="91"/>
              </w:rPr>
              <w:t>5</w:t>
            </w:r>
          </w:p>
        </w:tc>
        <w:tc>
          <w:tcPr>
            <w:tcW w:w="1200" w:type="dxa"/>
            <w:vAlign w:val="bottom"/>
            <w:gridSpan w:val="2"/>
            <w:shd w:val="clear" w:color="auto" w:fill="CCECFF"/>
          </w:tcPr>
          <w:p>
            <w:pPr>
              <w:jc w:val="center"/>
              <w:ind w:left="13"/>
              <w:spacing w:after="0" w:line="133" w:lineRule="exact"/>
              <w:rPr>
                <w:sz w:val="20"/>
                <w:szCs w:val="20"/>
                <w:color w:val="auto"/>
              </w:rPr>
            </w:pPr>
            <w:r>
              <w:rPr>
                <w:rFonts w:ascii="Times New Roman" w:cs="Times New Roman" w:eastAsia="Times New Roman" w:hAnsi="Times New Roman"/>
                <w:sz w:val="13"/>
                <w:szCs w:val="13"/>
                <w:color w:val="auto"/>
              </w:rPr>
              <w:t>the delivery from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LCO2 – HMG/C Athenian</w:t>
            </w:r>
          </w:p>
        </w:tc>
        <w:tc>
          <w:tcPr>
            <w:tcW w:w="28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12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vMerge w:val="restart"/>
            <w:shd w:val="clear" w:color="auto" w:fill="CCECFF"/>
          </w:tcPr>
          <w:p>
            <w:pPr>
              <w:jc w:val="center"/>
              <w:ind w:right="93"/>
              <w:spacing w:after="0"/>
              <w:rPr>
                <w:sz w:val="20"/>
                <w:szCs w:val="20"/>
                <w:color w:val="auto"/>
              </w:rPr>
            </w:pPr>
            <w:r>
              <w:rPr>
                <w:rFonts w:ascii="Times New Roman" w:cs="Times New Roman" w:eastAsia="Times New Roman" w:hAnsi="Times New Roman"/>
                <w:sz w:val="13"/>
                <w:szCs w:val="13"/>
                <w:color w:val="auto"/>
              </w:rPr>
              <w:t>the shipyard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560" w:type="dxa"/>
            <w:vAlign w:val="bottom"/>
            <w:shd w:val="clear" w:color="auto" w:fill="CCECFF"/>
          </w:tcPr>
          <w:p>
            <w:pPr>
              <w:spacing w:after="0"/>
              <w:rPr>
                <w:sz w:val="3"/>
                <w:szCs w:val="3"/>
                <w:color w:val="auto"/>
              </w:rPr>
            </w:pPr>
          </w:p>
        </w:tc>
        <w:tc>
          <w:tcPr>
            <w:tcW w:w="280" w:type="dxa"/>
            <w:vAlign w:val="bottom"/>
            <w:shd w:val="clear" w:color="auto" w:fill="CCECFF"/>
          </w:tcPr>
          <w:p>
            <w:pPr>
              <w:spacing w:after="0"/>
              <w:rPr>
                <w:sz w:val="3"/>
                <w:szCs w:val="3"/>
                <w:color w:val="auto"/>
              </w:rPr>
            </w:pPr>
          </w:p>
        </w:tc>
        <w:tc>
          <w:tcPr>
            <w:tcW w:w="880" w:type="dxa"/>
            <w:vAlign w:val="bottom"/>
            <w:shd w:val="clear" w:color="auto" w:fill="CCECFF"/>
          </w:tcPr>
          <w:p>
            <w:pPr>
              <w:spacing w:after="0"/>
              <w:rPr>
                <w:sz w:val="3"/>
                <w:szCs w:val="3"/>
                <w:color w:val="auto"/>
              </w:rPr>
            </w:pPr>
          </w:p>
        </w:tc>
        <w:tc>
          <w:tcPr>
            <w:tcW w:w="280" w:type="dxa"/>
            <w:vAlign w:val="bottom"/>
            <w:shd w:val="clear" w:color="auto" w:fill="CCECFF"/>
          </w:tcPr>
          <w:p>
            <w:pPr>
              <w:spacing w:after="0"/>
              <w:rPr>
                <w:sz w:val="3"/>
                <w:szCs w:val="3"/>
                <w:color w:val="auto"/>
              </w:rPr>
            </w:pPr>
          </w:p>
        </w:tc>
        <w:tc>
          <w:tcPr>
            <w:tcW w:w="1040" w:type="dxa"/>
            <w:vAlign w:val="bottom"/>
            <w:shd w:val="clear" w:color="auto" w:fill="CCECFF"/>
          </w:tcPr>
          <w:p>
            <w:pPr>
              <w:spacing w:after="0"/>
              <w:rPr>
                <w:sz w:val="3"/>
                <w:szCs w:val="3"/>
                <w:color w:val="auto"/>
              </w:rPr>
            </w:pPr>
          </w:p>
        </w:tc>
        <w:tc>
          <w:tcPr>
            <w:tcW w:w="260" w:type="dxa"/>
            <w:vAlign w:val="bottom"/>
            <w:shd w:val="clear" w:color="auto" w:fill="CCECFF"/>
          </w:tcPr>
          <w:p>
            <w:pPr>
              <w:spacing w:after="0"/>
              <w:rPr>
                <w:sz w:val="3"/>
                <w:szCs w:val="3"/>
                <w:color w:val="auto"/>
              </w:rPr>
            </w:pPr>
          </w:p>
        </w:tc>
        <w:tc>
          <w:tcPr>
            <w:tcW w:w="900" w:type="dxa"/>
            <w:vAlign w:val="bottom"/>
            <w:shd w:val="clear" w:color="auto" w:fill="CCECFF"/>
          </w:tcPr>
          <w:p>
            <w:pPr>
              <w:spacing w:after="0"/>
              <w:rPr>
                <w:sz w:val="3"/>
                <w:szCs w:val="3"/>
                <w:color w:val="auto"/>
              </w:rPr>
            </w:pPr>
          </w:p>
        </w:tc>
        <w:tc>
          <w:tcPr>
            <w:tcW w:w="260" w:type="dxa"/>
            <w:vAlign w:val="bottom"/>
            <w:shd w:val="clear" w:color="auto" w:fill="CCECFF"/>
          </w:tcPr>
          <w:p>
            <w:pPr>
              <w:spacing w:after="0"/>
              <w:rPr>
                <w:sz w:val="3"/>
                <w:szCs w:val="3"/>
                <w:color w:val="auto"/>
              </w:rPr>
            </w:pPr>
          </w:p>
        </w:tc>
        <w:tc>
          <w:tcPr>
            <w:tcW w:w="1000" w:type="dxa"/>
            <w:vAlign w:val="bottom"/>
            <w:shd w:val="clear" w:color="auto" w:fill="CCECFF"/>
          </w:tcPr>
          <w:p>
            <w:pPr>
              <w:spacing w:after="0"/>
              <w:rPr>
                <w:sz w:val="3"/>
                <w:szCs w:val="3"/>
                <w:color w:val="auto"/>
              </w:rPr>
            </w:pPr>
          </w:p>
        </w:tc>
        <w:tc>
          <w:tcPr>
            <w:tcW w:w="360" w:type="dxa"/>
            <w:vAlign w:val="bottom"/>
            <w:shd w:val="clear" w:color="auto" w:fill="CCECFF"/>
          </w:tcPr>
          <w:p>
            <w:pPr>
              <w:spacing w:after="0"/>
              <w:rPr>
                <w:sz w:val="3"/>
                <w:szCs w:val="3"/>
                <w:color w:val="auto"/>
              </w:rPr>
            </w:pPr>
          </w:p>
        </w:tc>
        <w:tc>
          <w:tcPr>
            <w:tcW w:w="820" w:type="dxa"/>
            <w:vAlign w:val="bottom"/>
            <w:shd w:val="clear" w:color="auto" w:fill="CCECFF"/>
          </w:tcPr>
          <w:p>
            <w:pPr>
              <w:spacing w:after="0"/>
              <w:rPr>
                <w:sz w:val="3"/>
                <w:szCs w:val="3"/>
                <w:color w:val="auto"/>
              </w:rPr>
            </w:pPr>
          </w:p>
        </w:tc>
        <w:tc>
          <w:tcPr>
            <w:tcW w:w="320" w:type="dxa"/>
            <w:vAlign w:val="bottom"/>
            <w:shd w:val="clear" w:color="auto" w:fill="CCECFF"/>
          </w:tcPr>
          <w:p>
            <w:pPr>
              <w:spacing w:after="0"/>
              <w:rPr>
                <w:sz w:val="3"/>
                <w:szCs w:val="3"/>
                <w:color w:val="auto"/>
              </w:rPr>
            </w:pPr>
          </w:p>
        </w:tc>
        <w:tc>
          <w:tcPr>
            <w:tcW w:w="1120" w:type="dxa"/>
            <w:vAlign w:val="bottom"/>
            <w:shd w:val="clear" w:color="auto" w:fill="CCECFF"/>
          </w:tcPr>
          <w:p>
            <w:pPr>
              <w:spacing w:after="0"/>
              <w:rPr>
                <w:sz w:val="3"/>
                <w:szCs w:val="3"/>
                <w:color w:val="auto"/>
              </w:rPr>
            </w:pPr>
          </w:p>
        </w:tc>
        <w:tc>
          <w:tcPr>
            <w:tcW w:w="1000" w:type="dxa"/>
            <w:vAlign w:val="bottom"/>
            <w:shd w:val="clear" w:color="auto" w:fill="CCECFF"/>
          </w:tcPr>
          <w:p>
            <w:pPr>
              <w:spacing w:after="0"/>
              <w:rPr>
                <w:sz w:val="3"/>
                <w:szCs w:val="3"/>
                <w:color w:val="auto"/>
              </w:rPr>
            </w:pPr>
          </w:p>
        </w:tc>
        <w:tc>
          <w:tcPr>
            <w:tcW w:w="260" w:type="dxa"/>
            <w:vAlign w:val="bottom"/>
            <w:shd w:val="clear" w:color="auto" w:fill="CCECFF"/>
          </w:tcPr>
          <w:p>
            <w:pPr>
              <w:spacing w:after="0"/>
              <w:rPr>
                <w:sz w:val="3"/>
                <w:szCs w:val="3"/>
                <w:color w:val="auto"/>
              </w:rPr>
            </w:pPr>
          </w:p>
        </w:tc>
        <w:tc>
          <w:tcPr>
            <w:tcW w:w="940" w:type="dxa"/>
            <w:vAlign w:val="bottom"/>
            <w:vMerge w:val="continue"/>
            <w:shd w:val="clear" w:color="auto" w:fill="CCEC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0"/>
        </w:trPr>
        <w:tc>
          <w:tcPr>
            <w:tcW w:w="1560" w:type="dxa"/>
            <w:vAlign w:val="bottom"/>
            <w:shd w:val="clear" w:color="auto" w:fill="CCECFF"/>
          </w:tcPr>
          <w:p>
            <w:pPr>
              <w:spacing w:after="0"/>
              <w:rPr>
                <w:sz w:val="8"/>
                <w:szCs w:val="8"/>
                <w:color w:val="auto"/>
              </w:rPr>
            </w:pPr>
          </w:p>
        </w:tc>
        <w:tc>
          <w:tcPr>
            <w:tcW w:w="280" w:type="dxa"/>
            <w:vAlign w:val="bottom"/>
            <w:shd w:val="clear" w:color="auto" w:fill="CCECFF"/>
          </w:tcPr>
          <w:p>
            <w:pPr>
              <w:spacing w:after="0"/>
              <w:rPr>
                <w:sz w:val="8"/>
                <w:szCs w:val="8"/>
                <w:color w:val="auto"/>
              </w:rPr>
            </w:pPr>
          </w:p>
        </w:tc>
        <w:tc>
          <w:tcPr>
            <w:tcW w:w="880" w:type="dxa"/>
            <w:vAlign w:val="bottom"/>
            <w:shd w:val="clear" w:color="auto" w:fill="CCECFF"/>
          </w:tcPr>
          <w:p>
            <w:pPr>
              <w:spacing w:after="0"/>
              <w:rPr>
                <w:sz w:val="8"/>
                <w:szCs w:val="8"/>
                <w:color w:val="auto"/>
              </w:rPr>
            </w:pPr>
          </w:p>
        </w:tc>
        <w:tc>
          <w:tcPr>
            <w:tcW w:w="280" w:type="dxa"/>
            <w:vAlign w:val="bottom"/>
            <w:shd w:val="clear" w:color="auto" w:fill="CCECFF"/>
          </w:tcPr>
          <w:p>
            <w:pPr>
              <w:spacing w:after="0"/>
              <w:rPr>
                <w:sz w:val="8"/>
                <w:szCs w:val="8"/>
                <w:color w:val="auto"/>
              </w:rPr>
            </w:pPr>
          </w:p>
        </w:tc>
        <w:tc>
          <w:tcPr>
            <w:tcW w:w="1040" w:type="dxa"/>
            <w:vAlign w:val="bottom"/>
            <w:shd w:val="clear" w:color="auto" w:fill="CCECFF"/>
          </w:tcPr>
          <w:p>
            <w:pPr>
              <w:spacing w:after="0"/>
              <w:rPr>
                <w:sz w:val="8"/>
                <w:szCs w:val="8"/>
                <w:color w:val="auto"/>
              </w:rPr>
            </w:pPr>
          </w:p>
        </w:tc>
        <w:tc>
          <w:tcPr>
            <w:tcW w:w="260" w:type="dxa"/>
            <w:vAlign w:val="bottom"/>
            <w:shd w:val="clear" w:color="auto" w:fill="CCECFF"/>
          </w:tcPr>
          <w:p>
            <w:pPr>
              <w:spacing w:after="0"/>
              <w:rPr>
                <w:sz w:val="8"/>
                <w:szCs w:val="8"/>
                <w:color w:val="auto"/>
              </w:rPr>
            </w:pPr>
          </w:p>
        </w:tc>
        <w:tc>
          <w:tcPr>
            <w:tcW w:w="900" w:type="dxa"/>
            <w:vAlign w:val="bottom"/>
            <w:shd w:val="clear" w:color="auto" w:fill="CCECFF"/>
          </w:tcPr>
          <w:p>
            <w:pPr>
              <w:spacing w:after="0"/>
              <w:rPr>
                <w:sz w:val="8"/>
                <w:szCs w:val="8"/>
                <w:color w:val="auto"/>
              </w:rPr>
            </w:pPr>
          </w:p>
        </w:tc>
        <w:tc>
          <w:tcPr>
            <w:tcW w:w="260" w:type="dxa"/>
            <w:vAlign w:val="bottom"/>
            <w:shd w:val="clear" w:color="auto" w:fill="CCECFF"/>
          </w:tcPr>
          <w:p>
            <w:pPr>
              <w:spacing w:after="0"/>
              <w:rPr>
                <w:sz w:val="8"/>
                <w:szCs w:val="8"/>
                <w:color w:val="auto"/>
              </w:rPr>
            </w:pPr>
          </w:p>
        </w:tc>
        <w:tc>
          <w:tcPr>
            <w:tcW w:w="1000" w:type="dxa"/>
            <w:vAlign w:val="bottom"/>
            <w:shd w:val="clear" w:color="auto" w:fill="CCECFF"/>
          </w:tcPr>
          <w:p>
            <w:pPr>
              <w:spacing w:after="0"/>
              <w:rPr>
                <w:sz w:val="8"/>
                <w:szCs w:val="8"/>
                <w:color w:val="auto"/>
              </w:rPr>
            </w:pPr>
          </w:p>
        </w:tc>
        <w:tc>
          <w:tcPr>
            <w:tcW w:w="360" w:type="dxa"/>
            <w:vAlign w:val="bottom"/>
            <w:shd w:val="clear" w:color="auto" w:fill="CCECFF"/>
          </w:tcPr>
          <w:p>
            <w:pPr>
              <w:spacing w:after="0"/>
              <w:rPr>
                <w:sz w:val="8"/>
                <w:szCs w:val="8"/>
                <w:color w:val="auto"/>
              </w:rPr>
            </w:pPr>
          </w:p>
        </w:tc>
        <w:tc>
          <w:tcPr>
            <w:tcW w:w="820" w:type="dxa"/>
            <w:vAlign w:val="bottom"/>
            <w:shd w:val="clear" w:color="auto" w:fill="CCECFF"/>
          </w:tcPr>
          <w:p>
            <w:pPr>
              <w:spacing w:after="0"/>
              <w:rPr>
                <w:sz w:val="8"/>
                <w:szCs w:val="8"/>
                <w:color w:val="auto"/>
              </w:rPr>
            </w:pPr>
          </w:p>
        </w:tc>
        <w:tc>
          <w:tcPr>
            <w:tcW w:w="320" w:type="dxa"/>
            <w:vAlign w:val="bottom"/>
            <w:shd w:val="clear" w:color="auto" w:fill="CCECFF"/>
          </w:tcPr>
          <w:p>
            <w:pPr>
              <w:spacing w:after="0"/>
              <w:rPr>
                <w:sz w:val="8"/>
                <w:szCs w:val="8"/>
                <w:color w:val="auto"/>
              </w:rPr>
            </w:pPr>
          </w:p>
        </w:tc>
        <w:tc>
          <w:tcPr>
            <w:tcW w:w="1120" w:type="dxa"/>
            <w:vAlign w:val="bottom"/>
            <w:shd w:val="clear" w:color="auto" w:fill="CCECFF"/>
          </w:tcPr>
          <w:p>
            <w:pPr>
              <w:spacing w:after="0"/>
              <w:rPr>
                <w:sz w:val="8"/>
                <w:szCs w:val="8"/>
                <w:color w:val="auto"/>
              </w:rPr>
            </w:pPr>
          </w:p>
        </w:tc>
        <w:tc>
          <w:tcPr>
            <w:tcW w:w="1000" w:type="dxa"/>
            <w:vAlign w:val="bottom"/>
            <w:shd w:val="clear" w:color="auto" w:fill="CCECFF"/>
          </w:tcPr>
          <w:p>
            <w:pPr>
              <w:spacing w:after="0"/>
              <w:rPr>
                <w:sz w:val="8"/>
                <w:szCs w:val="8"/>
                <w:color w:val="auto"/>
              </w:rPr>
            </w:pPr>
          </w:p>
        </w:tc>
        <w:tc>
          <w:tcPr>
            <w:tcW w:w="260" w:type="dxa"/>
            <w:vAlign w:val="bottom"/>
            <w:shd w:val="clear" w:color="auto" w:fill="CCECFF"/>
          </w:tcPr>
          <w:p>
            <w:pPr>
              <w:spacing w:after="0"/>
              <w:rPr>
                <w:sz w:val="8"/>
                <w:szCs w:val="8"/>
                <w:color w:val="auto"/>
              </w:rPr>
            </w:pPr>
          </w:p>
        </w:tc>
        <w:tc>
          <w:tcPr>
            <w:tcW w:w="940" w:type="dxa"/>
            <w:vAlign w:val="bottom"/>
            <w:shd w:val="clear" w:color="auto" w:fill="CCEC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9"/>
        </w:trPr>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F- 22</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3"/>
                <w:szCs w:val="13"/>
                <w:color w:val="0000EE"/>
              </w:rPr>
              <w:t>Table of Contents</w:t>
            </w:r>
          </w:p>
        </w:tc>
        <w:tc>
          <w:tcPr>
            <w:tcW w:w="0" w:type="dxa"/>
            <w:vAlign w:val="bottom"/>
          </w:tcPr>
          <w:p>
            <w:pPr>
              <w:spacing w:after="0"/>
              <w:rPr>
                <w:sz w:val="1"/>
                <w:szCs w:val="1"/>
                <w:color w:val="auto"/>
              </w:rPr>
            </w:pP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00" w:top="205" w:right="31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3"/>
          <w:szCs w:val="13"/>
          <w:b w:val="1"/>
          <w:bCs w:val="1"/>
          <w:color w:val="auto"/>
        </w:rPr>
        <w:t>Capital Clean Energy Carriers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United States Dollars, unless otherwise specified)</w:t>
      </w:r>
    </w:p>
    <w:p>
      <w:pPr>
        <w:spacing w:after="0" w:line="90" w:lineRule="exact"/>
        <w:rPr>
          <w:sz w:val="20"/>
          <w:szCs w:val="20"/>
          <w:color w:val="auto"/>
        </w:rPr>
      </w:pPr>
    </w:p>
    <w:p>
      <w:pPr>
        <w:ind w:left="340" w:hanging="340"/>
        <w:spacing w:after="0"/>
        <w:tabs>
          <w:tab w:leader="none" w:pos="340" w:val="left"/>
        </w:tabs>
        <w:numPr>
          <w:ilvl w:val="0"/>
          <w:numId w:val="14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Long-Term Debt - Continued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auto"/>
        </w:rPr>
        <w:t>For the year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“2024 Bocomm - LNG/C Asklipios” and “2024 Bocomm - LNG/C Attalos”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On August 23, 2024, the Company entered into two separate sale and lease back agreements with subsidiaries of the Bank of Communications Financial Leasing Co., Ltd (“Bocomm”) for the LNG/C Asklipios and the LNG/C Attalos, the “2024 Bocomm - LNG/C Asklipios” and the “2024 Bocomm - LNG/C Attalos”, respectively, for an amount of $162,500 each with the purpose of refinancing the then outstanding balance of both vessels of $250,365 under the sale and lease back arrangements that the companies owning the vessels had entered into with CMB Financial Leasing Co., Ltd (“CMBFL”) in 2021. The new sale and lease back agreements have remaining duration, starting from August 29, 2024, when the refinancing took place, of seven years.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“2024 - LNG/C Aristidis I credit facility”</w:t>
      </w:r>
    </w:p>
    <w:p>
      <w:pPr>
        <w:spacing w:after="0" w:line="17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On June 25, 2024, the vessel-owning company of the LNG/C Aristidis I entered into a new credit facility, the “2024 - LNG/C Aristidis I credit facility”, of up to $155,000, mainly for the full repayment of the then outstanding balance of $99,403 of the 2021 credit facility. The Company is acting as a parent guarantor. The Company drew down the full amount of the facility on June 26, 2024. The facility has a duration of seven years.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“2024 - LNG/C Apostolos Jolco”</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3"/>
          <w:szCs w:val="13"/>
          <w:color w:val="auto"/>
        </w:rPr>
        <w:t>On June 25, 2024, the vessel-owning company of the LNG/C Apostolos entered into a new sale and lease back agreement, the “2024 - LNG/C Apostolos Jolco”, of up to $240,000, for the purpose of full repayment of the 2024 - LNG/C Apostolos credit facility. On July 16, 2024, the Company drew down the full amount of 2024-LNG/C Apostolos Jolco. The sale and lease back agreement has a duration of eight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168275</wp:posOffset>
            </wp:positionV>
            <wp:extent cx="20955"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8">
                      <a:extLst>
                        <a:ext uri="{28A0092B-C50C-407E-A947-70E740481C1C}"/>
                      </a:extLst>
                    </a:blip>
                    <a:srcRect/>
                    <a:stretch>
                      <a:fillRect/>
                    </a:stretch>
                  </pic:blipFill>
                  <pic:spPr bwMode="auto">
                    <a:xfrm>
                      <a:off x="0" y="0"/>
                      <a:ext cx="20955" cy="635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“2024 - LNG/C Apostolos credit facility”</w:t>
      </w:r>
    </w:p>
    <w:p>
      <w:pPr>
        <w:spacing w:after="0" w:line="17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On June 20, 2024, the vessel-owning company of the LNG/C Apostolos entered into a new credit facility, the “2024 - LNG/C Apostolos credit facility”, of up to $192,000, for the purpose of partially financing the construction of the vessel (Note 6). During June 2024 the Company drew down the full amount of the facility. The facility was fully repaid on July 16, 2024, through the 2024 - LNG/C Apostolos Jolco.</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“2024 - LNG/C Aktoras credit facility”</w:t>
      </w:r>
    </w:p>
    <w:p>
      <w:pPr>
        <w:spacing w:after="0" w:line="17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On May 31, 2024, the vessel-owning company of the LNG/C Aktoras entered into a new credit facility, the “2024 - LNG/C Aktoras credit facility”, of up to $240,000, for the purpose of partially financing the construction of the vessel (Note 6). The Company is acting as a parent guarantor. During June 2024, the Company drew down the full amount of the facility. The facility has a duration of seven years.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“2021 Bocomm”</w:t>
      </w:r>
    </w:p>
    <w:p>
      <w:pPr>
        <w:spacing w:after="0" w:line="17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On May 14, 2024, the Company agreed with Bocomm to amend certain of the terms included in two separate sale and lease back agreements that the companies owning the vessels LNG/C Aristos I and the LNG/C Aristarchos had entered into with Bocomm in 2021. Specifically, effective from May 2024, the Company agreed to reduce the interest paid on the outstanding amount and extended the maturity for both facilities by two years.</w:t>
      </w:r>
    </w:p>
    <w:p>
      <w:pPr>
        <w:spacing w:after="0" w:line="1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u w:val="single" w:color="auto"/>
          <w:color w:val="auto"/>
        </w:rPr>
        <w:t>“2023 - LNG/C Assos Jolco”</w:t>
      </w:r>
    </w:p>
    <w:p>
      <w:pPr>
        <w:spacing w:after="0" w:line="17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On December 22, 2023, the Company entered into a new sale and lease back agreement of up to $240,000, for the purpose of partially financing the acquisition of the shares of the vessel-owning company of the LNG/C Assos (Note 6A). The full amount of the sale and lease back agreement was drawn in May 2024. The 2023 LNG/C Assos Jolco, has a duration of eight years.</w:t>
      </w: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i w:val="1"/>
          <w:iCs w:val="1"/>
          <w:color w:val="auto"/>
        </w:rPr>
        <w:t>“2024 - LNG/C Axios II credit facility”</w:t>
      </w:r>
    </w:p>
    <w:p>
      <w:pPr>
        <w:spacing w:after="0" w:line="17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On December 20, 2023, the vessel-owning company of the LNG/C Axios II entered into a new credit facility, the “2024 - LNG/C Axios II credit facility”, of up to $190,000, for the purpose of partially financing the construction of the vessel (Note 6A). The Company is acting as a parent guarantor. The Company drew down the full amount of the facility on January 2, 2024, upon the completion of the acquisition of the vessel from CMTC. The facility has a duration of seven years.</w:t>
      </w:r>
    </w:p>
    <w:p>
      <w:pPr>
        <w:spacing w:after="0" w:line="227" w:lineRule="exact"/>
        <w:rPr>
          <w:sz w:val="20"/>
          <w:szCs w:val="20"/>
          <w:color w:val="auto"/>
        </w:rPr>
      </w:pPr>
    </w:p>
    <w:p>
      <w:pPr>
        <w:jc w:val="right"/>
        <w:spacing w:after="0"/>
        <w:tabs>
          <w:tab w:leader="none" w:pos="920" w:val="left"/>
        </w:tabs>
        <w:rPr>
          <w:sz w:val="20"/>
          <w:szCs w:val="20"/>
          <w:color w:val="auto"/>
        </w:rPr>
      </w:pPr>
      <w:r>
        <w:rPr>
          <w:rFonts w:ascii="Times New Roman" w:cs="Times New Roman" w:eastAsia="Times New Roman" w:hAnsi="Times New Roman"/>
          <w:sz w:val="13"/>
          <w:szCs w:val="13"/>
          <w:color w:val="auto"/>
        </w:rPr>
        <w:t>F- 23</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6788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3"/>
          <w:szCs w:val="13"/>
          <w:b w:val="1"/>
          <w:bCs w:val="1"/>
          <w:color w:val="auto"/>
        </w:rPr>
        <w:t>Capital Clean Energy Carriers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United States Dollars, unless otherwise specified)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8. Long-Term Debt – Continued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auto"/>
        </w:rPr>
        <w:t>For the year 2024 - Continued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“Umbrella Seller’s Credit”</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3"/>
          <w:szCs w:val="13"/>
          <w:color w:val="auto"/>
        </w:rPr>
        <w:t>On December 21, 2023, upon entering the Umbrella Agreement the Company entered into an unsecured seller’s credit agreement with CMTC, the “Umbrella Seller’s Credit” in an amount of up to $220,000 in order to finance a portion of the purchase price of the 11 new 174,000 CBM LNG/C vessels under construction (Note 5). The Umbrella Seller’s Credit provides for interest at a rate of 7.5% per annum and has a maturity date of June 30, 2027. On January 2, 2024, upon the delivery of the LNG/C Axios II, the Company utilized a portion of $92,600. On February 28, March 11 and April 24, 2024, after the deliveries of the M/V Long Beach Express, the M/V Akadimos and the M/V Athenian, to their new owners (Note 3), the Company repaid the amounts of $12,789, $39,973 and $39,838, respectively, leaving the remaining unutilized amount at $127,400. Following the sales of the M/V Athenian and the M/V Athos (April 22, 2024), the M/V Seattle Express (April 26, 2024), the M/V Aristomenis (May 3, 2024) and the M/V Fos Express (May 3, 2024), the unutilized amount was reduced by $85,236 at $42,164. On June 5 and June 28, 2024, upon the deliveries of the LNG/C Aktoras and the LNG/C Apostolos, the Company utilized the remaining portion of $39,900 and $2,264, respectively. On November 26, 2024, after the delivery of the M/V Hyundai Premium, to its new owner (Note 3), the Company fully repaid the amount of $42,164.</w:t>
      </w:r>
    </w:p>
    <w:p>
      <w:pPr>
        <w:spacing w:after="0" w:line="13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All the Company’s sale and leaseback agreements were classified as financing arrangements since the existence of various purchase options retained by the Company commencing from the first-year anniversary and including either an obligation or an option to acquire each vessel at expiration at a predetermined price, precludes the transfer of control over the vessels.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During the year ended December 31, 2025, the Company repaid the amount of $120,868, in line with the amortization schedule of its financing arrangements.</w:t>
      </w:r>
    </w:p>
    <w:p>
      <w:pPr>
        <w:spacing w:after="0" w:line="17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During the year ended December 31, 2024, the Company prepaid the amount of $676,532 as a result of the refinancing of the outstanding indebtedness of the LNG/C Aristidis I, the LNG/C Attalos, the LNG/C Asklipios and the LNG/C Apostolos and the repayment in full of the Umbrella Seller’s Credit and repaid the amount of $104,378, in line with the amortization schedule of its financing arrangements.</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The Company’s credit facilities and sale and lease back agreements contain customary ship finance covenants, including restrictions on changes in management and ownership of the mortgaged vessels, the incurrence of additional indebtedness and the mortgaging of vessels and requirements such as that the ratio of EBITDA to net interest expenses be no less than 2:1, a minimum cash requirement of $500 per vessel, that the ratio of net total indebtedness to the total assets of the Company adjusted for the market value of the fleet not exceed 0.75:1. A number of the Company’s financing agreements require that the Company maintains a minimum fair value of the collateral for each financing arrangement, so that the aggregate fair value of the vessels collateralizing the financing arrangement is at least between 110% and 120% — depending on the financing arrangement — of the aggregate principal amount outstanding under such financing arrangement. Also, the vessel-owning companies may pay dividends or make distributions only when no event of default has occurred and the payment of such dividend or distribution has not resulted in a breach of any of the financial covenants. In addition, the 2022 and 2021 Bonds contain requirements such as that the ratio of EBITDA to net interest expenses be no less than 2:1, a restricted cash requirement and that the ratio of net total indebtedness to the total assets of the Company adjusted for the market value of the fleet not exceed 0.75:1. In addition, the 2022 and 2021 Bonds require that:</w:t>
      </w:r>
    </w:p>
    <w:p>
      <w:pPr>
        <w:spacing w:after="0" w:line="137" w:lineRule="exact"/>
        <w:rPr>
          <w:sz w:val="20"/>
          <w:szCs w:val="20"/>
          <w:color w:val="auto"/>
        </w:rPr>
      </w:pPr>
    </w:p>
    <w:p>
      <w:pPr>
        <w:ind w:left="340" w:hanging="111"/>
        <w:spacing w:after="0"/>
        <w:tabs>
          <w:tab w:leader="none" w:pos="340" w:val="left"/>
        </w:tabs>
        <w:numPr>
          <w:ilvl w:val="0"/>
          <w:numId w:val="14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Company maintain a pledged Debt Service Reserve Account (“DSRA”) with a minimum balance €100,000;</w:t>
      </w:r>
    </w:p>
    <w:p>
      <w:pPr>
        <w:spacing w:after="0" w:line="22" w:lineRule="exact"/>
        <w:rPr>
          <w:rFonts w:ascii="Arial" w:cs="Arial" w:eastAsia="Arial" w:hAnsi="Arial"/>
          <w:sz w:val="13"/>
          <w:szCs w:val="13"/>
          <w:b w:val="1"/>
          <w:bCs w:val="1"/>
          <w:color w:val="auto"/>
        </w:rPr>
      </w:pPr>
    </w:p>
    <w:p>
      <w:pPr>
        <w:ind w:left="340" w:hanging="111"/>
        <w:spacing w:after="0" w:line="255" w:lineRule="auto"/>
        <w:tabs>
          <w:tab w:leader="none" w:pos="340" w:val="left"/>
        </w:tabs>
        <w:numPr>
          <w:ilvl w:val="0"/>
          <w:numId w:val="14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the Company deposit to the DSRA 50% of any cash disbursements to unitholders (e.g., dividends) exceeding $20,000 per annum, capped at 1/3 of the par value of the 2022 and 2021 Bonds outstanding at the time; and</w:t>
      </w:r>
    </w:p>
    <w:p>
      <w:pPr>
        <w:spacing w:after="0" w:line="1" w:lineRule="exact"/>
        <w:rPr>
          <w:rFonts w:ascii="Arial" w:cs="Arial" w:eastAsia="Arial" w:hAnsi="Arial"/>
          <w:sz w:val="13"/>
          <w:szCs w:val="13"/>
          <w:b w:val="1"/>
          <w:bCs w:val="1"/>
          <w:color w:val="auto"/>
        </w:rPr>
      </w:pPr>
    </w:p>
    <w:p>
      <w:pPr>
        <w:ind w:left="340" w:hanging="111"/>
        <w:spacing w:after="0" w:line="271" w:lineRule="auto"/>
        <w:tabs>
          <w:tab w:leader="none" w:pos="340" w:val="left"/>
        </w:tabs>
        <w:numPr>
          <w:ilvl w:val="0"/>
          <w:numId w:val="146"/>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if the Company’s Market Value Adjusted Net Assets (“MVAN”) falls below $300,000 then to deposit to the DSRA the difference between the MVAN and the $300,000 (capped to 1/3 of the par value of the 2022 and 2021 Bonds outstanding).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December 31, 2025 and 2024 the Company was in compliance with all financial covenants.</w:t>
      </w:r>
    </w:p>
    <w:p>
      <w:pPr>
        <w:spacing w:after="0" w:line="17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3"/>
          <w:szCs w:val="13"/>
          <w:color w:val="auto"/>
        </w:rPr>
        <w:t>The Company’s credit facilities and sale and lease back agreements include a general assignment of the earnings, insurances and requisition compensation of the respective collateral vessel or vessels. They also require additional security, such as pledge and charge on current accounts and mortgage interest insurance.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December 31, 2025, the Company had maximum undrawn amount under its financing arrangements of $566,834.</w:t>
      </w:r>
    </w:p>
    <w:p>
      <w:pPr>
        <w:spacing w:after="0" w:line="17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3"/>
          <w:szCs w:val="13"/>
          <w:color w:val="auto"/>
        </w:rPr>
        <w:t>For the years ended December 31, 2025, 2024 and 2023, the Company recorded interest expense of $99,081, $121,015 and $82,344 net of capitalized interest of $24,972, $19,077 and $269 respectively, which is included in “Interest expense and finance cost” in the consolidated statements of comprehensive income.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the years ended December 31, 2025, 2024 and 2023, the weighted average interest on the Company’s long-term debt was 5.1%, 6.5% and 6.2% respectively.</w:t>
      </w:r>
    </w:p>
    <w:p>
      <w:pPr>
        <w:spacing w:after="0" w:line="280" w:lineRule="exact"/>
        <w:rPr>
          <w:sz w:val="20"/>
          <w:szCs w:val="20"/>
          <w:color w:val="auto"/>
        </w:rPr>
      </w:pPr>
    </w:p>
    <w:p>
      <w:pPr>
        <w:jc w:val="right"/>
        <w:spacing w:after="0"/>
        <w:tabs>
          <w:tab w:leader="none" w:pos="920" w:val="left"/>
        </w:tabs>
        <w:rPr>
          <w:sz w:val="20"/>
          <w:szCs w:val="20"/>
          <w:color w:val="auto"/>
        </w:rPr>
      </w:pPr>
      <w:r>
        <w:rPr>
          <w:rFonts w:ascii="Times New Roman" w:cs="Times New Roman" w:eastAsia="Times New Roman" w:hAnsi="Times New Roman"/>
          <w:sz w:val="13"/>
          <w:szCs w:val="13"/>
          <w:color w:val="auto"/>
        </w:rPr>
        <w:t>F- 24</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3"/>
          <w:szCs w:val="13"/>
          <w:b w:val="1"/>
          <w:bCs w:val="1"/>
          <w:color w:val="auto"/>
        </w:rPr>
        <w:t>Capital Clean Energy Carriers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United States Dollars, unless otherwise specified)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8. Long-Term Debt – Continued</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5"/>
        </w:trPr>
        <w:tc>
          <w:tcPr>
            <w:tcW w:w="10060" w:type="dxa"/>
            <w:vAlign w:val="bottom"/>
          </w:tcPr>
          <w:p>
            <w:pPr>
              <w:spacing w:after="0"/>
              <w:rPr>
                <w:sz w:val="20"/>
                <w:szCs w:val="20"/>
                <w:color w:val="auto"/>
              </w:rPr>
            </w:pPr>
            <w:r>
              <w:rPr>
                <w:rFonts w:ascii="Times New Roman" w:cs="Times New Roman" w:eastAsia="Times New Roman" w:hAnsi="Times New Roman"/>
                <w:sz w:val="13"/>
                <w:szCs w:val="13"/>
                <w:color w:val="auto"/>
              </w:rPr>
              <w:t>As of December 31, 2025, the required annual payments to be made subsequently to December 31, 2025, are as follows:</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174"/>
        </w:trPr>
        <w:tc>
          <w:tcPr>
            <w:tcW w:w="1006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3"/>
                <w:szCs w:val="13"/>
                <w:b w:val="1"/>
                <w:bCs w:val="1"/>
                <w:color w:val="auto"/>
              </w:rPr>
              <w:t>For the year ending December 31,</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50"/>
        </w:trPr>
        <w:tc>
          <w:tcPr>
            <w:tcW w:w="100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2026</w:t>
            </w:r>
          </w:p>
        </w:tc>
        <w:tc>
          <w:tcPr>
            <w:tcW w:w="240" w:type="dxa"/>
            <w:vAlign w:val="bottom"/>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124,779</w:t>
            </w:r>
          </w:p>
        </w:tc>
      </w:tr>
      <w:tr>
        <w:trPr>
          <w:trHeight w:val="160"/>
        </w:trPr>
        <w:tc>
          <w:tcPr>
            <w:tcW w:w="10060" w:type="dxa"/>
            <w:vAlign w:val="bottom"/>
          </w:tcPr>
          <w:p>
            <w:pPr>
              <w:spacing w:after="0"/>
              <w:rPr>
                <w:sz w:val="20"/>
                <w:szCs w:val="20"/>
                <w:color w:val="auto"/>
              </w:rPr>
            </w:pPr>
            <w:r>
              <w:rPr>
                <w:rFonts w:ascii="Times New Roman" w:cs="Times New Roman" w:eastAsia="Times New Roman" w:hAnsi="Times New Roman"/>
                <w:sz w:val="13"/>
                <w:szCs w:val="13"/>
                <w:color w:val="auto"/>
              </w:rPr>
              <w:t>2027</w:t>
            </w: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108,980</w:t>
            </w:r>
          </w:p>
        </w:tc>
      </w:tr>
      <w:tr>
        <w:trPr>
          <w:trHeight w:val="160"/>
        </w:trPr>
        <w:tc>
          <w:tcPr>
            <w:tcW w:w="100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2028</w:t>
            </w:r>
          </w:p>
        </w:tc>
        <w:tc>
          <w:tcPr>
            <w:tcW w:w="24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110,809</w:t>
            </w:r>
          </w:p>
        </w:tc>
      </w:tr>
      <w:tr>
        <w:trPr>
          <w:trHeight w:val="160"/>
        </w:trPr>
        <w:tc>
          <w:tcPr>
            <w:tcW w:w="10060" w:type="dxa"/>
            <w:vAlign w:val="bottom"/>
          </w:tcPr>
          <w:p>
            <w:pPr>
              <w:spacing w:after="0"/>
              <w:rPr>
                <w:sz w:val="20"/>
                <w:szCs w:val="20"/>
                <w:color w:val="auto"/>
              </w:rPr>
            </w:pPr>
            <w:r>
              <w:rPr>
                <w:rFonts w:ascii="Times New Roman" w:cs="Times New Roman" w:eastAsia="Times New Roman" w:hAnsi="Times New Roman"/>
                <w:sz w:val="13"/>
                <w:szCs w:val="13"/>
                <w:color w:val="auto"/>
              </w:rPr>
              <w:t>2029</w:t>
            </w: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313,803</w:t>
            </w:r>
          </w:p>
        </w:tc>
      </w:tr>
      <w:tr>
        <w:trPr>
          <w:trHeight w:val="160"/>
        </w:trPr>
        <w:tc>
          <w:tcPr>
            <w:tcW w:w="100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2030</w:t>
            </w:r>
          </w:p>
        </w:tc>
        <w:tc>
          <w:tcPr>
            <w:tcW w:w="24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310,093</w:t>
            </w:r>
          </w:p>
        </w:tc>
      </w:tr>
      <w:tr>
        <w:trPr>
          <w:trHeight w:val="160"/>
        </w:trPr>
        <w:tc>
          <w:tcPr>
            <w:tcW w:w="1006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3"/>
                <w:szCs w:val="13"/>
                <w:color w:val="auto"/>
              </w:rPr>
              <w:t>Thereafter</w:t>
            </w: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1,401,416</w:t>
            </w:r>
          </w:p>
        </w:tc>
      </w:tr>
      <w:tr>
        <w:trPr>
          <w:trHeight w:val="150"/>
        </w:trPr>
        <w:tc>
          <w:tcPr>
            <w:tcW w:w="1006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Borders>
              <w:bottom w:val="single" w:sz="8" w:color="auto"/>
            </w:tcBorders>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2,369,880</w:t>
            </w: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9. Derivative Instruments</w:t>
      </w:r>
    </w:p>
    <w:p>
      <w:pPr>
        <w:spacing w:after="0" w:line="1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In connection with the issuance of the 2022 Bonds and the 2021 Bonds (Note 8), the Company entered into certain cross-currency swap agreements to manage the related foreign currency exchange risk by effectively converting the fixed-rate, Euro-denominated Bonds, including the semi-annual interest payments for the period from July 26, 2022 to July 26, 2029 and from October 21, 2021 to October 21, 2025, respectively to fixed-rate, U.S. Dollar-denominated debt. The economic effect of the swap agreements is to eliminate the uncertainty of the cash flows in U.S. Dollars associated with the issuance of the 2022 Bonds and the 2021 Bonds by fixing the principal amount of the 2022 Bonds and the 2021 Bonds, with a fixed annual interest rate. The cross-currency swap agreement related to the 2022 Bonds was designated as an accounting hedge.</w:t>
      </w:r>
    </w:p>
    <w:p>
      <w:pPr>
        <w:spacing w:after="0" w:line="2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Derivative instruments not designated as hedges are not speculative and are used to manage the Company’s exposure to identified risks but do not meet the strict hedge accounting requirements and/or the Company has not elected to apply hedge accounting. Changes in the fair value of derivatives not designated in hedging relationships are recorded directly in the consolidated statements of comprehensive income. Changes in the fair value of derivatives designated as accounting hedges are recorded in the consolidated statements of other comprehensive income (effective portion), until the hedged item is recognized in the consolidated statements of comprehensive income.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cross-currency swap agreements related to the 2021 Bonds matured and were settled in accordance with their contractual terms on October 21, 2025.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summarizes the terms of the cross-currency swap agreements and their respective fair value as of December 31, 2025 and 2024.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As of December 31, 2025: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1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a) </w:t>
            </w:r>
            <w:r>
              <w:rPr>
                <w:rFonts w:ascii="Times New Roman" w:cs="Times New Roman" w:eastAsia="Times New Roman" w:hAnsi="Times New Roman"/>
                <w:sz w:val="13"/>
                <w:szCs w:val="13"/>
                <w:b w:val="1"/>
                <w:bCs w:val="1"/>
                <w:i w:val="1"/>
                <w:iCs w:val="1"/>
                <w:color w:val="auto"/>
              </w:rPr>
              <w:t>Derivative Asset:</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2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Notional Amount in thousands of</w:t>
            </w:r>
          </w:p>
        </w:tc>
        <w:tc>
          <w:tcPr>
            <w:tcW w:w="182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Notional Amount in United</w:t>
            </w: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Fixed Rate the</w:t>
            </w: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Fixed Rate the</w:t>
            </w:r>
          </w:p>
        </w:tc>
        <w:tc>
          <w:tcPr>
            <w:tcW w:w="28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Fair Value December</w:t>
            </w:r>
          </w:p>
        </w:tc>
        <w:tc>
          <w:tcPr>
            <w:tcW w:w="0" w:type="dxa"/>
            <w:vAlign w:val="bottom"/>
          </w:tcPr>
          <w:p>
            <w:pPr>
              <w:spacing w:after="0"/>
              <w:rPr>
                <w:sz w:val="1"/>
                <w:szCs w:val="1"/>
                <w:color w:val="auto"/>
              </w:rPr>
            </w:pPr>
          </w:p>
        </w:tc>
      </w:tr>
      <w:tr>
        <w:trPr>
          <w:trHeight w:val="80"/>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Effective Date</w:t>
            </w: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Termination Date</w:t>
            </w:r>
          </w:p>
        </w:tc>
        <w:tc>
          <w:tcPr>
            <w:tcW w:w="2320" w:type="dxa"/>
            <w:vAlign w:val="bottom"/>
            <w:vMerge w:val="continue"/>
          </w:tcPr>
          <w:p>
            <w:pPr>
              <w:spacing w:after="0"/>
              <w:rPr>
                <w:sz w:val="6"/>
                <w:szCs w:val="6"/>
                <w:color w:val="auto"/>
              </w:rPr>
            </w:pPr>
          </w:p>
        </w:tc>
        <w:tc>
          <w:tcPr>
            <w:tcW w:w="1820" w:type="dxa"/>
            <w:vAlign w:val="bottom"/>
            <w:vMerge w:val="continue"/>
          </w:tcPr>
          <w:p>
            <w:pPr>
              <w:spacing w:after="0"/>
              <w:rPr>
                <w:sz w:val="6"/>
                <w:szCs w:val="6"/>
                <w:color w:val="auto"/>
              </w:rPr>
            </w:pPr>
          </w:p>
        </w:tc>
        <w:tc>
          <w:tcPr>
            <w:tcW w:w="144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Company receives in</w:t>
            </w:r>
          </w:p>
        </w:tc>
        <w:tc>
          <w:tcPr>
            <w:tcW w:w="140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Company pays in</w:t>
            </w:r>
          </w:p>
        </w:tc>
        <w:tc>
          <w:tcPr>
            <w:tcW w:w="280" w:type="dxa"/>
            <w:vAlign w:val="bottom"/>
          </w:tcPr>
          <w:p>
            <w:pPr>
              <w:spacing w:after="0"/>
              <w:rPr>
                <w:sz w:val="6"/>
                <w:szCs w:val="6"/>
                <w:color w:val="auto"/>
              </w:rPr>
            </w:pP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31, 2025, in United</w:t>
            </w:r>
          </w:p>
        </w:tc>
        <w:tc>
          <w:tcPr>
            <w:tcW w:w="0" w:type="dxa"/>
            <w:vAlign w:val="bottom"/>
          </w:tcPr>
          <w:p>
            <w:pPr>
              <w:spacing w:after="0"/>
              <w:rPr>
                <w:sz w:val="1"/>
                <w:szCs w:val="1"/>
                <w:color w:val="auto"/>
              </w:rPr>
            </w:pPr>
          </w:p>
        </w:tc>
      </w:tr>
      <w:tr>
        <w:trPr>
          <w:trHeight w:val="80"/>
        </w:trPr>
        <w:tc>
          <w:tcPr>
            <w:tcW w:w="1180" w:type="dxa"/>
            <w:vAlign w:val="bottom"/>
            <w:vMerge w:val="continue"/>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232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EUROS</w:t>
            </w:r>
          </w:p>
        </w:tc>
        <w:tc>
          <w:tcPr>
            <w:tcW w:w="182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States Dollars</w:t>
            </w:r>
          </w:p>
        </w:tc>
        <w:tc>
          <w:tcPr>
            <w:tcW w:w="144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320" w:type="dxa"/>
            <w:vAlign w:val="bottom"/>
            <w:vMerge w:val="continue"/>
          </w:tcPr>
          <w:p>
            <w:pPr>
              <w:spacing w:after="0"/>
              <w:rPr>
                <w:sz w:val="8"/>
                <w:szCs w:val="8"/>
                <w:color w:val="auto"/>
              </w:rPr>
            </w:pPr>
          </w:p>
        </w:tc>
        <w:tc>
          <w:tcPr>
            <w:tcW w:w="1820" w:type="dxa"/>
            <w:vAlign w:val="bottom"/>
            <w:vMerge w:val="continue"/>
          </w:tcPr>
          <w:p>
            <w:pPr>
              <w:spacing w:after="0"/>
              <w:rPr>
                <w:sz w:val="8"/>
                <w:szCs w:val="8"/>
                <w:color w:val="auto"/>
              </w:rPr>
            </w:pPr>
          </w:p>
        </w:tc>
        <w:tc>
          <w:tcPr>
            <w:tcW w:w="144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EURO</w:t>
            </w:r>
          </w:p>
        </w:tc>
        <w:tc>
          <w:tcPr>
            <w:tcW w:w="140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United States Dollars</w:t>
            </w: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States Dollars</w:t>
            </w:r>
          </w:p>
        </w:tc>
        <w:tc>
          <w:tcPr>
            <w:tcW w:w="0" w:type="dxa"/>
            <w:vAlign w:val="bottom"/>
          </w:tcPr>
          <w:p>
            <w:pPr>
              <w:spacing w:after="0"/>
              <w:rPr>
                <w:sz w:val="1"/>
                <w:szCs w:val="1"/>
                <w:color w:val="auto"/>
              </w:rPr>
            </w:pPr>
          </w:p>
        </w:tc>
      </w:tr>
      <w:tr>
        <w:trPr>
          <w:trHeight w:val="80"/>
        </w:trPr>
        <w:tc>
          <w:tcPr>
            <w:tcW w:w="11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180" w:type="dxa"/>
            <w:vAlign w:val="bottom"/>
            <w:tcBorders>
              <w:bottom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26/07/2022</w:t>
            </w:r>
          </w:p>
        </w:tc>
        <w:tc>
          <w:tcPr>
            <w:tcW w:w="1440" w:type="dxa"/>
            <w:vAlign w:val="bottom"/>
            <w:tcBorders>
              <w:bottom w:val="single" w:sz="8" w:color="auto"/>
            </w:tcBorders>
            <w:gridSpan w:val="2"/>
            <w:shd w:val="clear" w:color="auto" w:fill="CCECFF"/>
          </w:tcPr>
          <w:p>
            <w:pPr>
              <w:jc w:val="center"/>
              <w:ind w:right="240"/>
              <w:spacing w:after="0"/>
              <w:rPr>
                <w:sz w:val="20"/>
                <w:szCs w:val="20"/>
                <w:color w:val="auto"/>
              </w:rPr>
            </w:pPr>
            <w:r>
              <w:rPr>
                <w:rFonts w:ascii="Times New Roman" w:cs="Times New Roman" w:eastAsia="Times New Roman" w:hAnsi="Times New Roman"/>
                <w:sz w:val="13"/>
                <w:szCs w:val="13"/>
                <w:color w:val="auto"/>
              </w:rPr>
              <w:t>26/07/2029</w:t>
            </w:r>
          </w:p>
        </w:tc>
        <w:tc>
          <w:tcPr>
            <w:tcW w:w="2320" w:type="dxa"/>
            <w:vAlign w:val="bottom"/>
            <w:tcBorders>
              <w:bottom w:val="single" w:sz="8" w:color="auto"/>
            </w:tcBorders>
            <w:shd w:val="clear" w:color="auto" w:fill="CCECFF"/>
          </w:tcPr>
          <w:p>
            <w:pPr>
              <w:jc w:val="right"/>
              <w:ind w:right="53"/>
              <w:spacing w:after="0"/>
              <w:rPr>
                <w:sz w:val="20"/>
                <w:szCs w:val="20"/>
                <w:color w:val="auto"/>
              </w:rPr>
            </w:pPr>
            <w:r>
              <w:rPr>
                <w:rFonts w:ascii="Times New Roman" w:cs="Times New Roman" w:eastAsia="Times New Roman" w:hAnsi="Times New Roman"/>
                <w:sz w:val="13"/>
                <w:szCs w:val="13"/>
                <w:color w:val="auto"/>
              </w:rPr>
              <w:t>100,000</w:t>
            </w:r>
          </w:p>
        </w:tc>
        <w:tc>
          <w:tcPr>
            <w:tcW w:w="1820" w:type="dxa"/>
            <w:vAlign w:val="bottom"/>
            <w:tcBorders>
              <w:bottom w:val="single" w:sz="8" w:color="auto"/>
            </w:tcBorders>
            <w:shd w:val="clear" w:color="auto" w:fill="CCECFF"/>
          </w:tcPr>
          <w:p>
            <w:pPr>
              <w:jc w:val="right"/>
              <w:ind w:right="73"/>
              <w:spacing w:after="0"/>
              <w:rPr>
                <w:sz w:val="20"/>
                <w:szCs w:val="20"/>
                <w:color w:val="auto"/>
              </w:rPr>
            </w:pPr>
            <w:r>
              <w:rPr>
                <w:rFonts w:ascii="Times New Roman" w:cs="Times New Roman" w:eastAsia="Times New Roman" w:hAnsi="Times New Roman"/>
                <w:sz w:val="13"/>
                <w:szCs w:val="13"/>
                <w:color w:val="auto"/>
              </w:rPr>
              <w:t>101,800</w:t>
            </w:r>
          </w:p>
        </w:tc>
        <w:tc>
          <w:tcPr>
            <w:tcW w:w="1440" w:type="dxa"/>
            <w:vAlign w:val="bottom"/>
            <w:tcBorders>
              <w:bottom w:val="single" w:sz="8" w:color="auto"/>
            </w:tcBorders>
            <w:shd w:val="clear" w:color="auto" w:fill="CCECFF"/>
          </w:tcPr>
          <w:p>
            <w:pPr>
              <w:jc w:val="right"/>
              <w:ind w:right="53"/>
              <w:spacing w:after="0"/>
              <w:rPr>
                <w:sz w:val="20"/>
                <w:szCs w:val="20"/>
                <w:color w:val="auto"/>
              </w:rPr>
            </w:pPr>
            <w:r>
              <w:rPr>
                <w:rFonts w:ascii="Times New Roman" w:cs="Times New Roman" w:eastAsia="Times New Roman" w:hAnsi="Times New Roman"/>
                <w:sz w:val="13"/>
                <w:szCs w:val="13"/>
                <w:color w:val="auto"/>
              </w:rPr>
              <w:t>4.40%</w:t>
            </w:r>
          </w:p>
        </w:tc>
        <w:tc>
          <w:tcPr>
            <w:tcW w:w="1400" w:type="dxa"/>
            <w:vAlign w:val="bottom"/>
            <w:tcBorders>
              <w:bottom w:val="single" w:sz="8" w:color="auto"/>
            </w:tcBorders>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color w:val="auto"/>
              </w:rPr>
              <w:t>6.55%</w:t>
            </w:r>
          </w:p>
        </w:tc>
        <w:tc>
          <w:tcPr>
            <w:tcW w:w="28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13,682</w:t>
            </w:r>
          </w:p>
        </w:tc>
        <w:tc>
          <w:tcPr>
            <w:tcW w:w="0" w:type="dxa"/>
            <w:vAlign w:val="bottom"/>
          </w:tcPr>
          <w:p>
            <w:pPr>
              <w:spacing w:after="0"/>
              <w:rPr>
                <w:sz w:val="1"/>
                <w:szCs w:val="1"/>
                <w:color w:val="auto"/>
              </w:rPr>
            </w:pPr>
          </w:p>
        </w:tc>
      </w:tr>
      <w:tr>
        <w:trPr>
          <w:trHeight w:val="171"/>
        </w:trPr>
        <w:tc>
          <w:tcPr>
            <w:tcW w:w="1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2"/>
          </w:tcPr>
          <w:p>
            <w:pPr>
              <w:jc w:val="right"/>
              <w:ind w:right="933"/>
              <w:spacing w:after="0"/>
              <w:rPr>
                <w:sz w:val="20"/>
                <w:szCs w:val="20"/>
                <w:color w:val="auto"/>
              </w:rPr>
            </w:pPr>
            <w:r>
              <w:rPr>
                <w:rFonts w:ascii="Times New Roman" w:cs="Times New Roman" w:eastAsia="Times New Roman" w:hAnsi="Times New Roman"/>
                <w:sz w:val="13"/>
                <w:szCs w:val="13"/>
                <w:b w:val="1"/>
                <w:bCs w:val="1"/>
                <w:color w:val="auto"/>
              </w:rPr>
              <w:t>Total Fair Value</w:t>
            </w: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13,682</w:t>
            </w:r>
          </w:p>
        </w:tc>
        <w:tc>
          <w:tcPr>
            <w:tcW w:w="0" w:type="dxa"/>
            <w:vAlign w:val="bottom"/>
          </w:tcPr>
          <w:p>
            <w:pPr>
              <w:spacing w:after="0"/>
              <w:rPr>
                <w:sz w:val="1"/>
                <w:szCs w:val="1"/>
                <w:color w:val="auto"/>
              </w:rPr>
            </w:pPr>
          </w:p>
        </w:tc>
      </w:tr>
      <w:tr>
        <w:trPr>
          <w:trHeight w:val="442"/>
        </w:trPr>
        <w:tc>
          <w:tcPr>
            <w:tcW w:w="262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auto"/>
              </w:rPr>
              <w:t>As of December 31, 2024:</w:t>
            </w:r>
          </w:p>
        </w:tc>
        <w:tc>
          <w:tcPr>
            <w:tcW w:w="2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a) Derivative Asset:</w:t>
            </w:r>
          </w:p>
        </w:tc>
        <w:tc>
          <w:tcPr>
            <w:tcW w:w="220" w:type="dxa"/>
            <w:vAlign w:val="bottom"/>
            <w:tcBorders>
              <w:top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2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Notional Amount in thousands of</w:t>
            </w:r>
          </w:p>
        </w:tc>
        <w:tc>
          <w:tcPr>
            <w:tcW w:w="182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Notional Amount in United</w:t>
            </w: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Fixed Rate the</w:t>
            </w: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Fixed Rate the</w:t>
            </w:r>
          </w:p>
        </w:tc>
        <w:tc>
          <w:tcPr>
            <w:tcW w:w="28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Fair Value December</w:t>
            </w:r>
          </w:p>
        </w:tc>
        <w:tc>
          <w:tcPr>
            <w:tcW w:w="0" w:type="dxa"/>
            <w:vAlign w:val="bottom"/>
          </w:tcPr>
          <w:p>
            <w:pPr>
              <w:spacing w:after="0"/>
              <w:rPr>
                <w:sz w:val="1"/>
                <w:szCs w:val="1"/>
                <w:color w:val="auto"/>
              </w:rPr>
            </w:pPr>
          </w:p>
        </w:tc>
      </w:tr>
      <w:tr>
        <w:trPr>
          <w:trHeight w:val="80"/>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Effective Date</w:t>
            </w: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Termination Date</w:t>
            </w:r>
          </w:p>
        </w:tc>
        <w:tc>
          <w:tcPr>
            <w:tcW w:w="2320" w:type="dxa"/>
            <w:vAlign w:val="bottom"/>
            <w:vMerge w:val="continue"/>
          </w:tcPr>
          <w:p>
            <w:pPr>
              <w:spacing w:after="0"/>
              <w:rPr>
                <w:sz w:val="6"/>
                <w:szCs w:val="6"/>
                <w:color w:val="auto"/>
              </w:rPr>
            </w:pPr>
          </w:p>
        </w:tc>
        <w:tc>
          <w:tcPr>
            <w:tcW w:w="1820" w:type="dxa"/>
            <w:vAlign w:val="bottom"/>
            <w:vMerge w:val="continue"/>
          </w:tcPr>
          <w:p>
            <w:pPr>
              <w:spacing w:after="0"/>
              <w:rPr>
                <w:sz w:val="6"/>
                <w:szCs w:val="6"/>
                <w:color w:val="auto"/>
              </w:rPr>
            </w:pPr>
          </w:p>
        </w:tc>
        <w:tc>
          <w:tcPr>
            <w:tcW w:w="144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Company receives in</w:t>
            </w:r>
          </w:p>
        </w:tc>
        <w:tc>
          <w:tcPr>
            <w:tcW w:w="140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Company pays in</w:t>
            </w:r>
          </w:p>
        </w:tc>
        <w:tc>
          <w:tcPr>
            <w:tcW w:w="280" w:type="dxa"/>
            <w:vAlign w:val="bottom"/>
          </w:tcPr>
          <w:p>
            <w:pPr>
              <w:spacing w:after="0"/>
              <w:rPr>
                <w:sz w:val="6"/>
                <w:szCs w:val="6"/>
                <w:color w:val="auto"/>
              </w:rPr>
            </w:pP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31, 2024, in United</w:t>
            </w:r>
          </w:p>
        </w:tc>
        <w:tc>
          <w:tcPr>
            <w:tcW w:w="0" w:type="dxa"/>
            <w:vAlign w:val="bottom"/>
          </w:tcPr>
          <w:p>
            <w:pPr>
              <w:spacing w:after="0"/>
              <w:rPr>
                <w:sz w:val="1"/>
                <w:szCs w:val="1"/>
                <w:color w:val="auto"/>
              </w:rPr>
            </w:pPr>
          </w:p>
        </w:tc>
      </w:tr>
      <w:tr>
        <w:trPr>
          <w:trHeight w:val="80"/>
        </w:trPr>
        <w:tc>
          <w:tcPr>
            <w:tcW w:w="1180" w:type="dxa"/>
            <w:vAlign w:val="bottom"/>
            <w:vMerge w:val="continue"/>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232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EUROS</w:t>
            </w:r>
          </w:p>
        </w:tc>
        <w:tc>
          <w:tcPr>
            <w:tcW w:w="182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States Dollars</w:t>
            </w:r>
          </w:p>
        </w:tc>
        <w:tc>
          <w:tcPr>
            <w:tcW w:w="144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320" w:type="dxa"/>
            <w:vAlign w:val="bottom"/>
            <w:vMerge w:val="continue"/>
          </w:tcPr>
          <w:p>
            <w:pPr>
              <w:spacing w:after="0"/>
              <w:rPr>
                <w:sz w:val="8"/>
                <w:szCs w:val="8"/>
                <w:color w:val="auto"/>
              </w:rPr>
            </w:pPr>
          </w:p>
        </w:tc>
        <w:tc>
          <w:tcPr>
            <w:tcW w:w="1820" w:type="dxa"/>
            <w:vAlign w:val="bottom"/>
            <w:vMerge w:val="continue"/>
          </w:tcPr>
          <w:p>
            <w:pPr>
              <w:spacing w:after="0"/>
              <w:rPr>
                <w:sz w:val="8"/>
                <w:szCs w:val="8"/>
                <w:color w:val="auto"/>
              </w:rPr>
            </w:pPr>
          </w:p>
        </w:tc>
        <w:tc>
          <w:tcPr>
            <w:tcW w:w="144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EURO</w:t>
            </w:r>
          </w:p>
        </w:tc>
        <w:tc>
          <w:tcPr>
            <w:tcW w:w="140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United States Dollars</w:t>
            </w: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States Dollars</w:t>
            </w:r>
          </w:p>
        </w:tc>
        <w:tc>
          <w:tcPr>
            <w:tcW w:w="0" w:type="dxa"/>
            <w:vAlign w:val="bottom"/>
          </w:tcPr>
          <w:p>
            <w:pPr>
              <w:spacing w:after="0"/>
              <w:rPr>
                <w:sz w:val="1"/>
                <w:szCs w:val="1"/>
                <w:color w:val="auto"/>
              </w:rPr>
            </w:pPr>
          </w:p>
        </w:tc>
      </w:tr>
      <w:tr>
        <w:trPr>
          <w:trHeight w:val="80"/>
        </w:trPr>
        <w:tc>
          <w:tcPr>
            <w:tcW w:w="11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180" w:type="dxa"/>
            <w:vAlign w:val="bottom"/>
            <w:tcBorders>
              <w:bottom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26/07/2022</w:t>
            </w:r>
          </w:p>
        </w:tc>
        <w:tc>
          <w:tcPr>
            <w:tcW w:w="1440" w:type="dxa"/>
            <w:vAlign w:val="bottom"/>
            <w:tcBorders>
              <w:bottom w:val="single" w:sz="8" w:color="auto"/>
            </w:tcBorders>
            <w:gridSpan w:val="2"/>
            <w:shd w:val="clear" w:color="auto" w:fill="CCECFF"/>
          </w:tcPr>
          <w:p>
            <w:pPr>
              <w:jc w:val="center"/>
              <w:ind w:right="240"/>
              <w:spacing w:after="0"/>
              <w:rPr>
                <w:sz w:val="20"/>
                <w:szCs w:val="20"/>
                <w:color w:val="auto"/>
              </w:rPr>
            </w:pPr>
            <w:r>
              <w:rPr>
                <w:rFonts w:ascii="Times New Roman" w:cs="Times New Roman" w:eastAsia="Times New Roman" w:hAnsi="Times New Roman"/>
                <w:sz w:val="13"/>
                <w:szCs w:val="13"/>
                <w:color w:val="auto"/>
              </w:rPr>
              <w:t>26/07/2029</w:t>
            </w:r>
          </w:p>
        </w:tc>
        <w:tc>
          <w:tcPr>
            <w:tcW w:w="2320" w:type="dxa"/>
            <w:vAlign w:val="bottom"/>
            <w:tcBorders>
              <w:bottom w:val="single" w:sz="8" w:color="auto"/>
            </w:tcBorders>
            <w:shd w:val="clear" w:color="auto" w:fill="CCECFF"/>
          </w:tcPr>
          <w:p>
            <w:pPr>
              <w:jc w:val="right"/>
              <w:ind w:right="53"/>
              <w:spacing w:after="0"/>
              <w:rPr>
                <w:sz w:val="20"/>
                <w:szCs w:val="20"/>
                <w:color w:val="auto"/>
              </w:rPr>
            </w:pPr>
            <w:r>
              <w:rPr>
                <w:rFonts w:ascii="Times New Roman" w:cs="Times New Roman" w:eastAsia="Times New Roman" w:hAnsi="Times New Roman"/>
                <w:sz w:val="13"/>
                <w:szCs w:val="13"/>
                <w:color w:val="auto"/>
              </w:rPr>
              <w:t>100,000</w:t>
            </w:r>
          </w:p>
        </w:tc>
        <w:tc>
          <w:tcPr>
            <w:tcW w:w="1820" w:type="dxa"/>
            <w:vAlign w:val="bottom"/>
            <w:tcBorders>
              <w:bottom w:val="single" w:sz="8" w:color="auto"/>
            </w:tcBorders>
            <w:shd w:val="clear" w:color="auto" w:fill="CCECFF"/>
          </w:tcPr>
          <w:p>
            <w:pPr>
              <w:jc w:val="right"/>
              <w:ind w:right="73"/>
              <w:spacing w:after="0"/>
              <w:rPr>
                <w:sz w:val="20"/>
                <w:szCs w:val="20"/>
                <w:color w:val="auto"/>
              </w:rPr>
            </w:pPr>
            <w:r>
              <w:rPr>
                <w:rFonts w:ascii="Times New Roman" w:cs="Times New Roman" w:eastAsia="Times New Roman" w:hAnsi="Times New Roman"/>
                <w:sz w:val="13"/>
                <w:szCs w:val="13"/>
                <w:color w:val="auto"/>
              </w:rPr>
              <w:t>101,800</w:t>
            </w:r>
          </w:p>
        </w:tc>
        <w:tc>
          <w:tcPr>
            <w:tcW w:w="1440" w:type="dxa"/>
            <w:vAlign w:val="bottom"/>
            <w:tcBorders>
              <w:bottom w:val="single" w:sz="8" w:color="auto"/>
            </w:tcBorders>
            <w:shd w:val="clear" w:color="auto" w:fill="CCECFF"/>
          </w:tcPr>
          <w:p>
            <w:pPr>
              <w:jc w:val="right"/>
              <w:ind w:right="53"/>
              <w:spacing w:after="0"/>
              <w:rPr>
                <w:sz w:val="20"/>
                <w:szCs w:val="20"/>
                <w:color w:val="auto"/>
              </w:rPr>
            </w:pPr>
            <w:r>
              <w:rPr>
                <w:rFonts w:ascii="Times New Roman" w:cs="Times New Roman" w:eastAsia="Times New Roman" w:hAnsi="Times New Roman"/>
                <w:sz w:val="13"/>
                <w:szCs w:val="13"/>
                <w:color w:val="auto"/>
              </w:rPr>
              <w:t>4.40%</w:t>
            </w:r>
          </w:p>
        </w:tc>
        <w:tc>
          <w:tcPr>
            <w:tcW w:w="1400" w:type="dxa"/>
            <w:vAlign w:val="bottom"/>
            <w:tcBorders>
              <w:bottom w:val="single" w:sz="8" w:color="auto"/>
            </w:tcBorders>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color w:val="auto"/>
              </w:rPr>
              <w:t>6.55%</w:t>
            </w:r>
          </w:p>
        </w:tc>
        <w:tc>
          <w:tcPr>
            <w:tcW w:w="280" w:type="dxa"/>
            <w:vAlign w:val="bottom"/>
            <w:tcBorders>
              <w:bottom w:val="single" w:sz="8" w:color="auto"/>
            </w:tcBorders>
            <w:shd w:val="clear" w:color="auto" w:fill="CCECFF"/>
          </w:tcPr>
          <w:p>
            <w:pPr>
              <w:spacing w:after="0"/>
              <w:rPr>
                <w:sz w:val="13"/>
                <w:szCs w:val="13"/>
                <w:color w:val="auto"/>
              </w:rPr>
            </w:pPr>
          </w:p>
        </w:tc>
        <w:tc>
          <w:tcPr>
            <w:tcW w:w="1400" w:type="dxa"/>
            <w:vAlign w:val="bottom"/>
            <w:tcBorders>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1,574</w:t>
            </w:r>
          </w:p>
        </w:tc>
        <w:tc>
          <w:tcPr>
            <w:tcW w:w="0" w:type="dxa"/>
            <w:vAlign w:val="bottom"/>
          </w:tcPr>
          <w:p>
            <w:pPr>
              <w:spacing w:after="0"/>
              <w:rPr>
                <w:sz w:val="1"/>
                <w:szCs w:val="1"/>
                <w:color w:val="auto"/>
              </w:rPr>
            </w:pPr>
          </w:p>
        </w:tc>
      </w:tr>
      <w:tr>
        <w:trPr>
          <w:trHeight w:val="167"/>
        </w:trPr>
        <w:tc>
          <w:tcPr>
            <w:tcW w:w="1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2"/>
          </w:tcPr>
          <w:p>
            <w:pPr>
              <w:jc w:val="right"/>
              <w:ind w:right="933"/>
              <w:spacing w:after="0"/>
              <w:rPr>
                <w:sz w:val="20"/>
                <w:szCs w:val="20"/>
                <w:color w:val="auto"/>
              </w:rPr>
            </w:pPr>
            <w:r>
              <w:rPr>
                <w:rFonts w:ascii="Times New Roman" w:cs="Times New Roman" w:eastAsia="Times New Roman" w:hAnsi="Times New Roman"/>
                <w:sz w:val="13"/>
                <w:szCs w:val="13"/>
                <w:b w:val="1"/>
                <w:bCs w:val="1"/>
                <w:color w:val="auto"/>
              </w:rPr>
              <w:t>Total Fair Value</w:t>
            </w: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1,574</w:t>
            </w:r>
          </w:p>
        </w:tc>
        <w:tc>
          <w:tcPr>
            <w:tcW w:w="0" w:type="dxa"/>
            <w:vAlign w:val="bottom"/>
          </w:tcPr>
          <w:p>
            <w:pPr>
              <w:spacing w:after="0"/>
              <w:rPr>
                <w:sz w:val="1"/>
                <w:szCs w:val="1"/>
                <w:color w:val="auto"/>
              </w:rPr>
            </w:pPr>
          </w:p>
        </w:tc>
      </w:tr>
      <w:tr>
        <w:trPr>
          <w:trHeight w:val="312"/>
        </w:trPr>
        <w:tc>
          <w:tcPr>
            <w:tcW w:w="26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i w:val="1"/>
                <w:iCs w:val="1"/>
                <w:color w:val="auto"/>
              </w:rPr>
              <w:t>b) Derivative Liabilities:</w:t>
            </w:r>
          </w:p>
        </w:tc>
        <w:tc>
          <w:tcPr>
            <w:tcW w:w="2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2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Notional Amount in thousands of</w:t>
            </w:r>
          </w:p>
        </w:tc>
        <w:tc>
          <w:tcPr>
            <w:tcW w:w="182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Notional Amount in United</w:t>
            </w: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Fixed Rate the</w:t>
            </w: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Fixed Rate the</w:t>
            </w:r>
          </w:p>
        </w:tc>
        <w:tc>
          <w:tcPr>
            <w:tcW w:w="28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Fair Value December</w:t>
            </w:r>
          </w:p>
        </w:tc>
        <w:tc>
          <w:tcPr>
            <w:tcW w:w="0" w:type="dxa"/>
            <w:vAlign w:val="bottom"/>
          </w:tcPr>
          <w:p>
            <w:pPr>
              <w:spacing w:after="0"/>
              <w:rPr>
                <w:sz w:val="1"/>
                <w:szCs w:val="1"/>
                <w:color w:val="auto"/>
              </w:rPr>
            </w:pPr>
          </w:p>
        </w:tc>
      </w:tr>
      <w:tr>
        <w:trPr>
          <w:trHeight w:val="80"/>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Effective Date</w:t>
            </w: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Termination Date</w:t>
            </w:r>
          </w:p>
        </w:tc>
        <w:tc>
          <w:tcPr>
            <w:tcW w:w="2320" w:type="dxa"/>
            <w:vAlign w:val="bottom"/>
            <w:vMerge w:val="continue"/>
          </w:tcPr>
          <w:p>
            <w:pPr>
              <w:spacing w:after="0"/>
              <w:rPr>
                <w:sz w:val="6"/>
                <w:szCs w:val="6"/>
                <w:color w:val="auto"/>
              </w:rPr>
            </w:pPr>
          </w:p>
        </w:tc>
        <w:tc>
          <w:tcPr>
            <w:tcW w:w="1820" w:type="dxa"/>
            <w:vAlign w:val="bottom"/>
            <w:vMerge w:val="continue"/>
          </w:tcPr>
          <w:p>
            <w:pPr>
              <w:spacing w:after="0"/>
              <w:rPr>
                <w:sz w:val="6"/>
                <w:szCs w:val="6"/>
                <w:color w:val="auto"/>
              </w:rPr>
            </w:pPr>
          </w:p>
        </w:tc>
        <w:tc>
          <w:tcPr>
            <w:tcW w:w="144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Company receives in</w:t>
            </w:r>
          </w:p>
        </w:tc>
        <w:tc>
          <w:tcPr>
            <w:tcW w:w="140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Company pays in</w:t>
            </w:r>
          </w:p>
        </w:tc>
        <w:tc>
          <w:tcPr>
            <w:tcW w:w="280" w:type="dxa"/>
            <w:vAlign w:val="bottom"/>
          </w:tcPr>
          <w:p>
            <w:pPr>
              <w:spacing w:after="0"/>
              <w:rPr>
                <w:sz w:val="6"/>
                <w:szCs w:val="6"/>
                <w:color w:val="auto"/>
              </w:rPr>
            </w:pP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31, 2024, in United</w:t>
            </w:r>
          </w:p>
        </w:tc>
        <w:tc>
          <w:tcPr>
            <w:tcW w:w="0" w:type="dxa"/>
            <w:vAlign w:val="bottom"/>
          </w:tcPr>
          <w:p>
            <w:pPr>
              <w:spacing w:after="0"/>
              <w:rPr>
                <w:sz w:val="1"/>
                <w:szCs w:val="1"/>
                <w:color w:val="auto"/>
              </w:rPr>
            </w:pPr>
          </w:p>
        </w:tc>
      </w:tr>
      <w:tr>
        <w:trPr>
          <w:trHeight w:val="80"/>
        </w:trPr>
        <w:tc>
          <w:tcPr>
            <w:tcW w:w="1180" w:type="dxa"/>
            <w:vAlign w:val="bottom"/>
            <w:vMerge w:val="continue"/>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232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EUROS</w:t>
            </w:r>
          </w:p>
        </w:tc>
        <w:tc>
          <w:tcPr>
            <w:tcW w:w="182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States Dollars</w:t>
            </w:r>
          </w:p>
        </w:tc>
        <w:tc>
          <w:tcPr>
            <w:tcW w:w="144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320" w:type="dxa"/>
            <w:vAlign w:val="bottom"/>
            <w:vMerge w:val="continue"/>
          </w:tcPr>
          <w:p>
            <w:pPr>
              <w:spacing w:after="0"/>
              <w:rPr>
                <w:sz w:val="8"/>
                <w:szCs w:val="8"/>
                <w:color w:val="auto"/>
              </w:rPr>
            </w:pPr>
          </w:p>
        </w:tc>
        <w:tc>
          <w:tcPr>
            <w:tcW w:w="1820" w:type="dxa"/>
            <w:vAlign w:val="bottom"/>
            <w:vMerge w:val="continue"/>
          </w:tcPr>
          <w:p>
            <w:pPr>
              <w:spacing w:after="0"/>
              <w:rPr>
                <w:sz w:val="8"/>
                <w:szCs w:val="8"/>
                <w:color w:val="auto"/>
              </w:rPr>
            </w:pPr>
          </w:p>
        </w:tc>
        <w:tc>
          <w:tcPr>
            <w:tcW w:w="144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EURO</w:t>
            </w:r>
          </w:p>
        </w:tc>
        <w:tc>
          <w:tcPr>
            <w:tcW w:w="140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United States Dollars</w:t>
            </w: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States Dollars</w:t>
            </w:r>
          </w:p>
        </w:tc>
        <w:tc>
          <w:tcPr>
            <w:tcW w:w="0" w:type="dxa"/>
            <w:vAlign w:val="bottom"/>
          </w:tcPr>
          <w:p>
            <w:pPr>
              <w:spacing w:after="0"/>
              <w:rPr>
                <w:sz w:val="1"/>
                <w:szCs w:val="1"/>
                <w:color w:val="auto"/>
              </w:rPr>
            </w:pPr>
          </w:p>
        </w:tc>
      </w:tr>
      <w:tr>
        <w:trPr>
          <w:trHeight w:val="80"/>
        </w:trPr>
        <w:tc>
          <w:tcPr>
            <w:tcW w:w="11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21/10/2021</w:t>
            </w:r>
          </w:p>
        </w:tc>
        <w:tc>
          <w:tcPr>
            <w:tcW w:w="14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3"/>
                <w:szCs w:val="13"/>
                <w:color w:val="auto"/>
              </w:rPr>
              <w:t>21/10/2025</w:t>
            </w:r>
          </w:p>
        </w:tc>
        <w:tc>
          <w:tcPr>
            <w:tcW w:w="23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120,000</w:t>
            </w:r>
          </w:p>
        </w:tc>
        <w:tc>
          <w:tcPr>
            <w:tcW w:w="18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139,716</w:t>
            </w:r>
          </w:p>
        </w:tc>
        <w:tc>
          <w:tcPr>
            <w:tcW w:w="14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2.65%</w:t>
            </w:r>
          </w:p>
        </w:tc>
        <w:tc>
          <w:tcPr>
            <w:tcW w:w="14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3.66%</w:t>
            </w: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14,588</w:t>
            </w:r>
          </w:p>
        </w:tc>
        <w:tc>
          <w:tcPr>
            <w:tcW w:w="0" w:type="dxa"/>
            <w:vAlign w:val="bottom"/>
          </w:tcPr>
          <w:p>
            <w:pPr>
              <w:spacing w:after="0"/>
              <w:rPr>
                <w:sz w:val="1"/>
                <w:szCs w:val="1"/>
                <w:color w:val="auto"/>
              </w:rPr>
            </w:pPr>
          </w:p>
        </w:tc>
      </w:tr>
      <w:tr>
        <w:trPr>
          <w:trHeight w:val="176"/>
        </w:trPr>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21/10/2021</w:t>
            </w: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21/10/2025</w:t>
            </w:r>
          </w:p>
        </w:tc>
        <w:tc>
          <w:tcPr>
            <w:tcW w:w="23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30,000</w:t>
            </w:r>
          </w:p>
        </w:tc>
        <w:tc>
          <w:tcPr>
            <w:tcW w:w="18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34,929</w:t>
            </w:r>
          </w:p>
        </w:tc>
        <w:tc>
          <w:tcPr>
            <w:tcW w:w="14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2.65%</w:t>
            </w:r>
          </w:p>
        </w:tc>
        <w:tc>
          <w:tcPr>
            <w:tcW w:w="14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3.69%</w:t>
            </w: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3,526</w:t>
            </w:r>
          </w:p>
        </w:tc>
        <w:tc>
          <w:tcPr>
            <w:tcW w:w="0" w:type="dxa"/>
            <w:vAlign w:val="bottom"/>
          </w:tcPr>
          <w:p>
            <w:pPr>
              <w:spacing w:after="0"/>
              <w:rPr>
                <w:sz w:val="1"/>
                <w:szCs w:val="1"/>
                <w:color w:val="auto"/>
              </w:rPr>
            </w:pPr>
          </w:p>
        </w:tc>
      </w:tr>
      <w:tr>
        <w:trPr>
          <w:trHeight w:val="171"/>
        </w:trPr>
        <w:tc>
          <w:tcPr>
            <w:tcW w:w="1180" w:type="dxa"/>
            <w:vAlign w:val="bottom"/>
            <w:tcBorders>
              <w:bottom w:val="single" w:sz="8" w:color="auto"/>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spacing w:after="0"/>
              <w:rPr>
                <w:sz w:val="14"/>
                <w:szCs w:val="14"/>
                <w:color w:val="auto"/>
              </w:rPr>
            </w:pPr>
          </w:p>
        </w:tc>
        <w:tc>
          <w:tcPr>
            <w:tcW w:w="2320" w:type="dxa"/>
            <w:vAlign w:val="bottom"/>
            <w:tcBorders>
              <w:bottom w:val="single" w:sz="8" w:color="auto"/>
            </w:tcBorders>
            <w:shd w:val="clear" w:color="auto" w:fill="CCECFF"/>
          </w:tcPr>
          <w:p>
            <w:pPr>
              <w:spacing w:after="0"/>
              <w:rPr>
                <w:sz w:val="14"/>
                <w:szCs w:val="14"/>
                <w:color w:val="auto"/>
              </w:rPr>
            </w:pPr>
          </w:p>
        </w:tc>
        <w:tc>
          <w:tcPr>
            <w:tcW w:w="1820" w:type="dxa"/>
            <w:vAlign w:val="bottom"/>
            <w:tcBorders>
              <w:bottom w:val="single" w:sz="8" w:color="auto"/>
            </w:tcBorders>
            <w:shd w:val="clear" w:color="auto" w:fill="CCECFF"/>
          </w:tcPr>
          <w:p>
            <w:pPr>
              <w:spacing w:after="0"/>
              <w:rPr>
                <w:sz w:val="14"/>
                <w:szCs w:val="14"/>
                <w:color w:val="auto"/>
              </w:rPr>
            </w:pPr>
          </w:p>
        </w:tc>
        <w:tc>
          <w:tcPr>
            <w:tcW w:w="2840" w:type="dxa"/>
            <w:vAlign w:val="bottom"/>
            <w:tcBorders>
              <w:bottom w:val="single" w:sz="8" w:color="auto"/>
            </w:tcBorders>
            <w:gridSpan w:val="2"/>
            <w:shd w:val="clear" w:color="auto" w:fill="CCECFF"/>
          </w:tcPr>
          <w:p>
            <w:pPr>
              <w:jc w:val="right"/>
              <w:ind w:right="933"/>
              <w:spacing w:after="0"/>
              <w:rPr>
                <w:sz w:val="20"/>
                <w:szCs w:val="20"/>
                <w:color w:val="auto"/>
              </w:rPr>
            </w:pPr>
            <w:r>
              <w:rPr>
                <w:rFonts w:ascii="Times New Roman" w:cs="Times New Roman" w:eastAsia="Times New Roman" w:hAnsi="Times New Roman"/>
                <w:sz w:val="13"/>
                <w:szCs w:val="13"/>
                <w:b w:val="1"/>
                <w:bCs w:val="1"/>
                <w:color w:val="auto"/>
              </w:rPr>
              <w:t>Total Fair Value</w:t>
            </w:r>
          </w:p>
        </w:tc>
        <w:tc>
          <w:tcPr>
            <w:tcW w:w="280" w:type="dxa"/>
            <w:vAlign w:val="bottom"/>
            <w:tcBorders>
              <w:bottom w:val="single" w:sz="8" w:color="auto"/>
            </w:tcBorders>
            <w:shd w:val="clear" w:color="auto" w:fill="CCECFF"/>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w:t>
            </w:r>
          </w:p>
        </w:tc>
        <w:tc>
          <w:tcPr>
            <w:tcW w:w="1400" w:type="dxa"/>
            <w:vAlign w:val="bottom"/>
            <w:tcBorders>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18,114</w:t>
            </w:r>
          </w:p>
        </w:tc>
        <w:tc>
          <w:tcPr>
            <w:tcW w:w="0" w:type="dxa"/>
            <w:vAlign w:val="bottom"/>
          </w:tcPr>
          <w:p>
            <w:pPr>
              <w:spacing w:after="0"/>
              <w:rPr>
                <w:sz w:val="1"/>
                <w:szCs w:val="1"/>
                <w:color w:val="auto"/>
              </w:rPr>
            </w:pPr>
          </w:p>
        </w:tc>
      </w:tr>
      <w:tr>
        <w:trPr>
          <w:trHeight w:val="522"/>
        </w:trPr>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20" w:type="dxa"/>
            <w:vAlign w:val="bottom"/>
          </w:tcPr>
          <w:p>
            <w:pPr>
              <w:jc w:val="right"/>
              <w:ind w:right="893"/>
              <w:spacing w:after="0"/>
              <w:rPr>
                <w:sz w:val="20"/>
                <w:szCs w:val="20"/>
                <w:color w:val="auto"/>
              </w:rPr>
            </w:pPr>
            <w:r>
              <w:rPr>
                <w:rFonts w:ascii="Times New Roman" w:cs="Times New Roman" w:eastAsia="Times New Roman" w:hAnsi="Times New Roman"/>
                <w:sz w:val="13"/>
                <w:szCs w:val="13"/>
                <w:color w:val="auto"/>
              </w:rPr>
              <w:t>F- 25</w:t>
            </w: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3"/>
                <w:szCs w:val="13"/>
                <w:color w:val="0000EE"/>
                <w:w w:val="98"/>
              </w:rPr>
              <w:t>Table of Contents</w:t>
            </w:r>
          </w:p>
        </w:tc>
        <w:tc>
          <w:tcPr>
            <w:tcW w:w="0" w:type="dxa"/>
            <w:vAlign w:val="bottom"/>
          </w:tcPr>
          <w:p>
            <w:pPr>
              <w:spacing w:after="0"/>
              <w:rPr>
                <w:sz w:val="1"/>
                <w:szCs w:val="1"/>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00" w:top="205" w:right="31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3"/>
          <w:szCs w:val="13"/>
          <w:b w:val="1"/>
          <w:bCs w:val="1"/>
          <w:color w:val="auto"/>
        </w:rPr>
        <w:t>Capital Clean Energy Carriers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United States Dollars, unless otherwise specified)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9. Derivative Instruments - Continued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fair value of the cross-currency swap agreements is presented net of accrued interest expense which is recorded in “Accrued liabilities” in the consolidated balance sheets.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tables summarize the effect of the cross-currency swap agreements for the years ended December 31, 2025, 2024 and 2023: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Derivative designated as accounting hedge</w:t>
            </w:r>
          </w:p>
        </w:tc>
        <w:tc>
          <w:tcPr>
            <w:tcW w:w="220" w:type="dxa"/>
            <w:vAlign w:val="bottom"/>
          </w:tcPr>
          <w:p>
            <w:pPr>
              <w:spacing w:after="0"/>
              <w:rPr>
                <w:sz w:val="15"/>
                <w:szCs w:val="15"/>
                <w:color w:val="auto"/>
              </w:rPr>
            </w:pPr>
          </w:p>
        </w:tc>
        <w:tc>
          <w:tcPr>
            <w:tcW w:w="3060" w:type="dxa"/>
            <w:vAlign w:val="bottom"/>
            <w:gridSpan w:val="5"/>
            <w:vMerge w:val="restart"/>
          </w:tcPr>
          <w:p>
            <w:pPr>
              <w:ind w:left="92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60" w:type="dxa"/>
            <w:vAlign w:val="bottom"/>
            <w:gridSpan w:val="5"/>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Amount of gain / (loss) recognized in accumulated other comprehensive loss</w:t>
            </w:r>
          </w:p>
        </w:tc>
        <w:tc>
          <w:tcPr>
            <w:tcW w:w="220" w:type="dxa"/>
            <w:vAlign w:val="bottom"/>
            <w:tcBorders>
              <w:bottom w:val="single" w:sz="8" w:color="CCECFF"/>
            </w:tcBorders>
          </w:tcPr>
          <w:p>
            <w:pPr>
              <w:spacing w:after="0"/>
              <w:rPr>
                <w:sz w:val="15"/>
                <w:szCs w:val="15"/>
                <w:color w:val="auto"/>
              </w:rPr>
            </w:pP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bottom w:val="single" w:sz="8" w:color="CCECFF"/>
            </w:tcBorders>
          </w:tcPr>
          <w:p>
            <w:pPr>
              <w:spacing w:after="0"/>
              <w:rPr>
                <w:sz w:val="15"/>
                <w:szCs w:val="15"/>
                <w:color w:val="auto"/>
              </w:rPr>
            </w:pP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Borders>
              <w:bottom w:val="single" w:sz="8" w:color="CCEC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0"/>
        </w:trPr>
        <w:tc>
          <w:tcPr>
            <w:tcW w:w="734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3"/>
                <w:szCs w:val="13"/>
                <w:color w:val="auto"/>
              </w:rPr>
              <w:t>Cross-currency swap agreement related to 2022 Bonds</w:t>
            </w:r>
          </w:p>
        </w:tc>
        <w:tc>
          <w:tcPr>
            <w:tcW w:w="220" w:type="dxa"/>
            <w:vAlign w:val="bottom"/>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color w:val="auto"/>
              </w:rPr>
              <w:t>10,239</w:t>
            </w:r>
          </w:p>
        </w:tc>
        <w:tc>
          <w:tcPr>
            <w:tcW w:w="220" w:type="dxa"/>
            <w:vAlign w:val="bottom"/>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color w:val="auto"/>
              </w:rPr>
              <w:t>(7,239)</w:t>
            </w:r>
          </w:p>
        </w:tc>
        <w:tc>
          <w:tcPr>
            <w:tcW w:w="220" w:type="dxa"/>
            <w:vAlign w:val="bottom"/>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5,286</w:t>
            </w:r>
          </w:p>
        </w:tc>
        <w:tc>
          <w:tcPr>
            <w:tcW w:w="0" w:type="dxa"/>
            <w:vAlign w:val="bottom"/>
          </w:tcPr>
          <w:p>
            <w:pPr>
              <w:spacing w:after="0"/>
              <w:rPr>
                <w:sz w:val="1"/>
                <w:szCs w:val="1"/>
                <w:color w:val="auto"/>
              </w:rPr>
            </w:pPr>
          </w:p>
        </w:tc>
      </w:tr>
      <w:tr>
        <w:trPr>
          <w:trHeight w:val="160"/>
        </w:trPr>
        <w:tc>
          <w:tcPr>
            <w:tcW w:w="7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Reclassification to other income, net</w:t>
            </w:r>
          </w:p>
        </w:tc>
        <w:tc>
          <w:tcPr>
            <w:tcW w:w="220" w:type="dxa"/>
            <w:vAlign w:val="bottom"/>
            <w:tcBorders>
              <w:bottom w:val="single" w:sz="8" w:color="CCECFF"/>
            </w:tcBorders>
          </w:tcPr>
          <w:p>
            <w:pPr>
              <w:spacing w:after="0"/>
              <w:rPr>
                <w:sz w:val="13"/>
                <w:szCs w:val="13"/>
                <w:color w:val="auto"/>
              </w:rPr>
            </w:pP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(11,525)</w:t>
            </w:r>
          </w:p>
        </w:tc>
        <w:tc>
          <w:tcPr>
            <w:tcW w:w="220" w:type="dxa"/>
            <w:vAlign w:val="bottom"/>
            <w:tcBorders>
              <w:bottom w:val="single" w:sz="8" w:color="CCECFF"/>
            </w:tcBorders>
          </w:tcPr>
          <w:p>
            <w:pPr>
              <w:spacing w:after="0"/>
              <w:rPr>
                <w:sz w:val="13"/>
                <w:szCs w:val="13"/>
                <w:color w:val="auto"/>
              </w:rPr>
            </w:pP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8,536</w:t>
            </w:r>
          </w:p>
        </w:tc>
        <w:tc>
          <w:tcPr>
            <w:tcW w:w="220" w:type="dxa"/>
            <w:vAlign w:val="bottom"/>
            <w:tcBorders>
              <w:bottom w:val="single" w:sz="8" w:color="CCEC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(2,106)</w:t>
            </w:r>
          </w:p>
        </w:tc>
        <w:tc>
          <w:tcPr>
            <w:tcW w:w="0" w:type="dxa"/>
            <w:vAlign w:val="bottom"/>
          </w:tcPr>
          <w:p>
            <w:pPr>
              <w:spacing w:after="0"/>
              <w:rPr>
                <w:sz w:val="1"/>
                <w:szCs w:val="1"/>
                <w:color w:val="auto"/>
              </w:rPr>
            </w:pPr>
          </w:p>
        </w:tc>
      </w:tr>
      <w:tr>
        <w:trPr>
          <w:trHeight w:val="150"/>
        </w:trPr>
        <w:tc>
          <w:tcPr>
            <w:tcW w:w="7340" w:type="dxa"/>
            <w:vAlign w:val="bottom"/>
            <w:tcBorders>
              <w:bottom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3"/>
                <w:szCs w:val="13"/>
                <w:b w:val="1"/>
                <w:bCs w:val="1"/>
                <w:color w:val="auto"/>
              </w:rPr>
              <w:t>Total (loss) / gain recognized in accumulated other comprehensive loss</w:t>
            </w:r>
          </w:p>
        </w:tc>
        <w:tc>
          <w:tcPr>
            <w:tcW w:w="220" w:type="dxa"/>
            <w:vAlign w:val="bottom"/>
            <w:tcBorders>
              <w:bottom w:val="single" w:sz="8" w:color="CCECFF"/>
            </w:tcBorders>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Borders>
              <w:bottom w:val="single" w:sz="8" w:color="auto"/>
            </w:tcBorders>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(1,286)</w:t>
            </w:r>
          </w:p>
        </w:tc>
        <w:tc>
          <w:tcPr>
            <w:tcW w:w="220" w:type="dxa"/>
            <w:vAlign w:val="bottom"/>
            <w:tcBorders>
              <w:bottom w:val="single" w:sz="8" w:color="CCECFF"/>
            </w:tcBorders>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Borders>
              <w:bottom w:val="single" w:sz="8" w:color="auto"/>
            </w:tcBorders>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1,297</w:t>
            </w:r>
          </w:p>
        </w:tc>
        <w:tc>
          <w:tcPr>
            <w:tcW w:w="220" w:type="dxa"/>
            <w:vAlign w:val="bottom"/>
            <w:tcBorders>
              <w:bottom w:val="single" w:sz="8" w:color="CCECFF"/>
            </w:tcBorders>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Borders>
              <w:bottom w:val="single" w:sz="8" w:color="auto"/>
            </w:tcBorders>
            <w:shd w:val="clear" w:color="auto" w:fill="CCECFF"/>
          </w:tcPr>
          <w:p>
            <w:pPr>
              <w:spacing w:after="0"/>
              <w:rPr>
                <w:sz w:val="13"/>
                <w:szCs w:val="13"/>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3,180</w:t>
            </w:r>
          </w:p>
        </w:tc>
        <w:tc>
          <w:tcPr>
            <w:tcW w:w="0" w:type="dxa"/>
            <w:vAlign w:val="bottom"/>
          </w:tcPr>
          <w:p>
            <w:pPr>
              <w:spacing w:after="0"/>
              <w:rPr>
                <w:sz w:val="1"/>
                <w:szCs w:val="1"/>
                <w:color w:val="auto"/>
              </w:rPr>
            </w:pPr>
          </w:p>
        </w:tc>
      </w:tr>
    </w:tbl>
    <w:p>
      <w:pPr>
        <w:spacing w:after="0" w:line="30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The estimated net expense that is expected to be reclassified within the next 12 months from Accumulated Other Comprehensive Loss to earnings in respect of the settlements on cross-currency swap agreements designated as accounting hedge, amounts to $1,441.</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2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Derivatives not designated as accounting hedges:</w:t>
            </w:r>
          </w:p>
        </w:tc>
        <w:tc>
          <w:tcPr>
            <w:tcW w:w="220" w:type="dxa"/>
            <w:vAlign w:val="bottom"/>
          </w:tcPr>
          <w:p>
            <w:pPr>
              <w:spacing w:after="0"/>
              <w:rPr>
                <w:sz w:val="15"/>
                <w:szCs w:val="15"/>
                <w:color w:val="auto"/>
              </w:rPr>
            </w:pPr>
          </w:p>
        </w:tc>
        <w:tc>
          <w:tcPr>
            <w:tcW w:w="3080" w:type="dxa"/>
            <w:vAlign w:val="bottom"/>
            <w:gridSpan w:val="5"/>
            <w:vMerge w:val="restart"/>
          </w:tcPr>
          <w:p>
            <w:pPr>
              <w:ind w:left="94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80" w:type="dxa"/>
            <w:vAlign w:val="bottom"/>
            <w:gridSpan w:val="5"/>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Amount of gain / (loss) recognized in other income, net</w:t>
            </w:r>
          </w:p>
        </w:tc>
        <w:tc>
          <w:tcPr>
            <w:tcW w:w="220" w:type="dxa"/>
            <w:vAlign w:val="bottom"/>
            <w:tcBorders>
              <w:bottom w:val="single" w:sz="8" w:color="CCEC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bottom w:val="single" w:sz="8" w:color="CCECFF"/>
            </w:tcBorders>
          </w:tcPr>
          <w:p>
            <w:pPr>
              <w:spacing w:after="0"/>
              <w:rPr>
                <w:sz w:val="15"/>
                <w:szCs w:val="15"/>
                <w:color w:val="auto"/>
              </w:rPr>
            </w:pPr>
          </w:p>
        </w:tc>
        <w:tc>
          <w:tcPr>
            <w:tcW w:w="1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Borders>
              <w:bottom w:val="single" w:sz="8" w:color="CCEC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0"/>
        </w:trPr>
        <w:tc>
          <w:tcPr>
            <w:tcW w:w="73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3"/>
                <w:szCs w:val="13"/>
                <w:color w:val="auto"/>
              </w:rPr>
              <w:t>Change in fair value of derivatives related to 2021 Bonds</w:t>
            </w:r>
          </w:p>
        </w:tc>
        <w:tc>
          <w:tcPr>
            <w:tcW w:w="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18,114</w:t>
            </w:r>
          </w:p>
        </w:tc>
        <w:tc>
          <w:tcPr>
            <w:tcW w:w="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CFF"/>
          </w:tcPr>
          <w:p>
            <w:pPr>
              <w:jc w:val="right"/>
              <w:ind w:right="53"/>
              <w:spacing w:after="0"/>
              <w:rPr>
                <w:sz w:val="20"/>
                <w:szCs w:val="20"/>
                <w:color w:val="auto"/>
              </w:rPr>
            </w:pPr>
            <w:r>
              <w:rPr>
                <w:rFonts w:ascii="Times New Roman" w:cs="Times New Roman" w:eastAsia="Times New Roman" w:hAnsi="Times New Roman"/>
                <w:sz w:val="13"/>
                <w:szCs w:val="13"/>
                <w:color w:val="auto"/>
              </w:rPr>
              <w:t>(10,934)</w:t>
            </w:r>
          </w:p>
        </w:tc>
        <w:tc>
          <w:tcPr>
            <w:tcW w:w="220" w:type="dxa"/>
            <w:vAlign w:val="bottom"/>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5,529</w:t>
            </w:r>
          </w:p>
        </w:tc>
        <w:tc>
          <w:tcPr>
            <w:tcW w:w="0" w:type="dxa"/>
            <w:vAlign w:val="bottom"/>
          </w:tcPr>
          <w:p>
            <w:pPr>
              <w:spacing w:after="0"/>
              <w:rPr>
                <w:sz w:val="1"/>
                <w:szCs w:val="1"/>
                <w:color w:val="auto"/>
              </w:rPr>
            </w:pPr>
          </w:p>
        </w:tc>
      </w:tr>
      <w:tr>
        <w:trPr>
          <w:trHeight w:val="160"/>
        </w:trPr>
        <w:tc>
          <w:tcPr>
            <w:tcW w:w="7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Realized interest expense of derivatives related to 2021 Bonds</w:t>
            </w:r>
          </w:p>
        </w:tc>
        <w:tc>
          <w:tcPr>
            <w:tcW w:w="220" w:type="dxa"/>
            <w:vAlign w:val="bottom"/>
            <w:tcBorders>
              <w:bottom w:val="single" w:sz="8" w:color="CCECFF"/>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(1,119)</w:t>
            </w:r>
          </w:p>
        </w:tc>
        <w:tc>
          <w:tcPr>
            <w:tcW w:w="220" w:type="dxa"/>
            <w:vAlign w:val="bottom"/>
            <w:tcBorders>
              <w:bottom w:val="single" w:sz="8" w:color="CCECFF"/>
            </w:tcBorders>
          </w:tcPr>
          <w:p>
            <w:pPr>
              <w:spacing w:after="0"/>
              <w:rPr>
                <w:sz w:val="13"/>
                <w:szCs w:val="13"/>
                <w:color w:val="auto"/>
              </w:rPr>
            </w:pPr>
          </w:p>
        </w:tc>
        <w:tc>
          <w:tcPr>
            <w:tcW w:w="1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(2,141)</w:t>
            </w:r>
          </w:p>
        </w:tc>
        <w:tc>
          <w:tcPr>
            <w:tcW w:w="220" w:type="dxa"/>
            <w:vAlign w:val="bottom"/>
            <w:tcBorders>
              <w:bottom w:val="single" w:sz="8" w:color="CCEC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(2,111)</w:t>
            </w:r>
          </w:p>
        </w:tc>
        <w:tc>
          <w:tcPr>
            <w:tcW w:w="0" w:type="dxa"/>
            <w:vAlign w:val="bottom"/>
          </w:tcPr>
          <w:p>
            <w:pPr>
              <w:spacing w:after="0"/>
              <w:rPr>
                <w:sz w:val="1"/>
                <w:szCs w:val="1"/>
                <w:color w:val="auto"/>
              </w:rPr>
            </w:pPr>
          </w:p>
        </w:tc>
      </w:tr>
      <w:tr>
        <w:trPr>
          <w:trHeight w:val="150"/>
        </w:trPr>
        <w:tc>
          <w:tcPr>
            <w:tcW w:w="7320" w:type="dxa"/>
            <w:vAlign w:val="bottom"/>
            <w:tcBorders>
              <w:bottom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3"/>
                <w:szCs w:val="13"/>
                <w:b w:val="1"/>
                <w:bCs w:val="1"/>
                <w:color w:val="auto"/>
              </w:rPr>
              <w:t>Total gain / (loss) recognized in other income, net</w:t>
            </w:r>
          </w:p>
        </w:tc>
        <w:tc>
          <w:tcPr>
            <w:tcW w:w="2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16,995</w:t>
            </w:r>
          </w:p>
        </w:tc>
        <w:tc>
          <w:tcPr>
            <w:tcW w:w="2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tcBorders>
              <w:bottom w:val="single" w:sz="8" w:color="auto"/>
            </w:tcBorders>
            <w:shd w:val="clear" w:color="auto" w:fill="CCECFF"/>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(13,075)</w:t>
            </w:r>
          </w:p>
        </w:tc>
        <w:tc>
          <w:tcPr>
            <w:tcW w:w="220" w:type="dxa"/>
            <w:vAlign w:val="bottom"/>
            <w:tcBorders>
              <w:bottom w:val="single" w:sz="8" w:color="CCECFF"/>
            </w:tcBorders>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Borders>
              <w:bottom w:val="single" w:sz="8" w:color="auto"/>
            </w:tcBorders>
            <w:shd w:val="clear" w:color="auto" w:fill="CCECFF"/>
          </w:tcPr>
          <w:p>
            <w:pPr>
              <w:spacing w:after="0"/>
              <w:rPr>
                <w:sz w:val="13"/>
                <w:szCs w:val="13"/>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3,418</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 Financial Instruments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 Fair value of financial instruments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Cash and cash equivalents, restricted cash and other assets and liabilities</w:t>
      </w:r>
    </w:p>
    <w:p>
      <w:pPr>
        <w:spacing w:after="0" w:line="17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The carrying value of cash and cash equivalents and restricted cash, are considered Level 1 items as they represent liquid assets with short-term maturities. The carrying value of trade receivables, amounts due to related parties, trade accounts payable and accrued liabilities approximate their fair value.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Long-term debt</w:t>
      </w:r>
    </w:p>
    <w:p>
      <w:pPr>
        <w:spacing w:after="0" w:line="1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The fair value of variable rate long-term debt (Note 8) approximates the recorded value, due to its variable interest being based on the SOFR rates and due to the fact that the lenders have the ability to pass on their funding cost to the Company under certain circumstances, which reflects their current assessed risk. The Company believes the terms of its variable rate loans are similar to those that could be procured as of December 31, 2025. SOFR rates are observable at commonly quoted intervals for the full term of the loans and hence bank loans are considered Level 2 items in accordance with the fair value hierarchy.</w:t>
      </w:r>
    </w:p>
    <w:p>
      <w:pPr>
        <w:spacing w:after="0" w:line="12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The fair value of the fixed rate long-term debt (Note 8 ((vii), (viii), (xi) and (xii))) as of December 31, 2025, was approximately $235,273 (carrying value: $233,017) and was determined by using Level 2 inputs being the discounted expected cash flows of the outstanding amount.</w:t>
      </w:r>
    </w:p>
    <w:p>
      <w:pPr>
        <w:spacing w:after="0" w:line="11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The 2022 Bonds and the 2021 Bonds (Note 8 ((xv) and (xvi))) have a fixed rate, and their estimated fair values as of December 31, 2025, were determined through Level 1 inputs of the fair value hierarchy (quoted price under the ticker symbols CPLPB1 and CPLPB2 on Athens Stock Exchange) and were approximately $296,191 (carrying value: $293,186).</w:t>
      </w:r>
    </w:p>
    <w:p>
      <w:pPr>
        <w:spacing w:after="0" w:line="54" w:lineRule="exact"/>
        <w:rPr>
          <w:sz w:val="20"/>
          <w:szCs w:val="20"/>
          <w:color w:val="auto"/>
        </w:rPr>
      </w:pPr>
    </w:p>
    <w:p>
      <w:pPr>
        <w:jc w:val="right"/>
        <w:spacing w:after="0"/>
        <w:tabs>
          <w:tab w:leader="none" w:pos="920" w:val="left"/>
        </w:tabs>
        <w:rPr>
          <w:sz w:val="20"/>
          <w:szCs w:val="20"/>
          <w:color w:val="auto"/>
        </w:rPr>
      </w:pPr>
      <w:r>
        <w:rPr>
          <w:rFonts w:ascii="Times New Roman" w:cs="Times New Roman" w:eastAsia="Times New Roman" w:hAnsi="Times New Roman"/>
          <w:sz w:val="13"/>
          <w:szCs w:val="13"/>
          <w:color w:val="auto"/>
        </w:rPr>
        <w:t>F- 26</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67880"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3"/>
          <w:szCs w:val="13"/>
          <w:b w:val="1"/>
          <w:bCs w:val="1"/>
          <w:color w:val="auto"/>
        </w:rPr>
        <w:t>Capital Clean Energy Carriers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United States Dollars, unless otherwise specified)</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 Financial Instruments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 Fair value of financial instruments - Continued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Derivative instruments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As of December 31, 2025:</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Items Measured at Fair Value on a recurring Basis -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7167880" cy="4057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7167880" cy="405765"/>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60" w:type="dxa"/>
            <w:vAlign w:val="bottom"/>
            <w:shd w:val="clear" w:color="auto" w:fill="CCECFF"/>
          </w:tcPr>
          <w:p>
            <w:pPr>
              <w:spacing w:after="0"/>
              <w:rPr>
                <w:sz w:val="12"/>
                <w:szCs w:val="12"/>
                <w:color w:val="auto"/>
              </w:rPr>
            </w:pPr>
          </w:p>
        </w:tc>
        <w:tc>
          <w:tcPr>
            <w:tcW w:w="316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100" w:type="dxa"/>
            <w:vAlign w:val="bottom"/>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Quoted prices in</w:t>
            </w:r>
          </w:p>
        </w:tc>
        <w:tc>
          <w:tcPr>
            <w:tcW w:w="220" w:type="dxa"/>
            <w:vAlign w:val="bottom"/>
            <w:shd w:val="clear" w:color="auto" w:fill="CCECFF"/>
          </w:tcPr>
          <w:p>
            <w:pPr>
              <w:spacing w:after="0"/>
              <w:rPr>
                <w:sz w:val="12"/>
                <w:szCs w:val="12"/>
                <w:color w:val="auto"/>
              </w:rPr>
            </w:pPr>
          </w:p>
        </w:tc>
        <w:tc>
          <w:tcPr>
            <w:tcW w:w="1100" w:type="dxa"/>
            <w:vAlign w:val="bottom"/>
            <w:vMerge w:val="restart"/>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Significant other</w:t>
            </w:r>
          </w:p>
        </w:tc>
        <w:tc>
          <w:tcPr>
            <w:tcW w:w="26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3160" w:type="dxa"/>
            <w:vAlign w:val="bottom"/>
            <w:shd w:val="clear" w:color="auto" w:fill="CCECFF"/>
          </w:tcPr>
          <w:p>
            <w:pPr>
              <w:spacing w:after="0"/>
              <w:rPr>
                <w:sz w:val="6"/>
                <w:szCs w:val="6"/>
                <w:color w:val="auto"/>
              </w:rPr>
            </w:pPr>
          </w:p>
        </w:tc>
        <w:tc>
          <w:tcPr>
            <w:tcW w:w="3160" w:type="dxa"/>
            <w:vAlign w:val="bottom"/>
            <w:shd w:val="clear" w:color="auto" w:fill="CCECFF"/>
          </w:tcPr>
          <w:p>
            <w:pPr>
              <w:spacing w:after="0"/>
              <w:rPr>
                <w:sz w:val="6"/>
                <w:szCs w:val="6"/>
                <w:color w:val="auto"/>
              </w:rPr>
            </w:pPr>
          </w:p>
        </w:tc>
        <w:tc>
          <w:tcPr>
            <w:tcW w:w="1020" w:type="dxa"/>
            <w:vAlign w:val="bottom"/>
            <w:vMerge w:val="restart"/>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shd w:val="clear" w:color="auto" w:fill="CCECFF"/>
          </w:tcPr>
          <w:p>
            <w:pPr>
              <w:spacing w:after="0"/>
              <w:rPr>
                <w:sz w:val="6"/>
                <w:szCs w:val="6"/>
                <w:color w:val="auto"/>
              </w:rPr>
            </w:pPr>
          </w:p>
        </w:tc>
        <w:tc>
          <w:tcPr>
            <w:tcW w:w="1100" w:type="dxa"/>
            <w:vAlign w:val="bottom"/>
            <w:vMerge w:val="restart"/>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active markets</w:t>
            </w:r>
          </w:p>
        </w:tc>
        <w:tc>
          <w:tcPr>
            <w:tcW w:w="220" w:type="dxa"/>
            <w:vAlign w:val="bottom"/>
            <w:shd w:val="clear" w:color="auto" w:fill="CCECFF"/>
          </w:tcPr>
          <w:p>
            <w:pPr>
              <w:spacing w:after="0"/>
              <w:rPr>
                <w:sz w:val="6"/>
                <w:szCs w:val="6"/>
                <w:color w:val="auto"/>
              </w:rPr>
            </w:pPr>
          </w:p>
        </w:tc>
        <w:tc>
          <w:tcPr>
            <w:tcW w:w="1100" w:type="dxa"/>
            <w:vAlign w:val="bottom"/>
            <w:vMerge w:val="continue"/>
            <w:shd w:val="clear" w:color="auto" w:fill="CCECFF"/>
          </w:tcPr>
          <w:p>
            <w:pPr>
              <w:spacing w:after="0"/>
              <w:rPr>
                <w:sz w:val="6"/>
                <w:szCs w:val="6"/>
                <w:color w:val="auto"/>
              </w:rPr>
            </w:pPr>
          </w:p>
        </w:tc>
        <w:tc>
          <w:tcPr>
            <w:tcW w:w="260" w:type="dxa"/>
            <w:vAlign w:val="bottom"/>
            <w:shd w:val="clear" w:color="auto" w:fill="CCECFF"/>
          </w:tcPr>
          <w:p>
            <w:pPr>
              <w:spacing w:after="0"/>
              <w:rPr>
                <w:sz w:val="6"/>
                <w:szCs w:val="6"/>
                <w:color w:val="auto"/>
              </w:rPr>
            </w:pPr>
          </w:p>
        </w:tc>
        <w:tc>
          <w:tcPr>
            <w:tcW w:w="10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Unobservable</w:t>
            </w:r>
          </w:p>
        </w:tc>
        <w:tc>
          <w:tcPr>
            <w:tcW w:w="0" w:type="dxa"/>
            <w:vAlign w:val="bottom"/>
          </w:tcPr>
          <w:p>
            <w:pPr>
              <w:spacing w:after="0"/>
              <w:rPr>
                <w:sz w:val="1"/>
                <w:szCs w:val="1"/>
                <w:color w:val="auto"/>
              </w:rPr>
            </w:pPr>
          </w:p>
        </w:tc>
      </w:tr>
      <w:tr>
        <w:trPr>
          <w:trHeight w:val="80"/>
        </w:trPr>
        <w:tc>
          <w:tcPr>
            <w:tcW w:w="3160" w:type="dxa"/>
            <w:vAlign w:val="bottom"/>
            <w:vMerge w:val="restart"/>
            <w:shd w:val="clear" w:color="auto" w:fill="CCECFF"/>
          </w:tcPr>
          <w:p>
            <w:pPr>
              <w:ind w:left="80"/>
              <w:spacing w:after="0"/>
              <w:rPr>
                <w:sz w:val="20"/>
                <w:szCs w:val="20"/>
                <w:color w:val="auto"/>
              </w:rPr>
            </w:pPr>
            <w:r>
              <w:rPr>
                <w:rFonts w:ascii="Times New Roman" w:cs="Times New Roman" w:eastAsia="Times New Roman" w:hAnsi="Times New Roman"/>
                <w:sz w:val="13"/>
                <w:szCs w:val="13"/>
                <w:b w:val="1"/>
                <w:bCs w:val="1"/>
                <w:color w:val="auto"/>
              </w:rPr>
              <w:t>Recurring measurements:</w:t>
            </w:r>
          </w:p>
        </w:tc>
        <w:tc>
          <w:tcPr>
            <w:tcW w:w="3160" w:type="dxa"/>
            <w:vAlign w:val="bottom"/>
            <w:shd w:val="clear" w:color="auto" w:fill="CCECFF"/>
          </w:tcPr>
          <w:p>
            <w:pPr>
              <w:spacing w:after="0"/>
              <w:rPr>
                <w:sz w:val="6"/>
                <w:szCs w:val="6"/>
                <w:color w:val="auto"/>
              </w:rPr>
            </w:pPr>
          </w:p>
        </w:tc>
        <w:tc>
          <w:tcPr>
            <w:tcW w:w="1020" w:type="dxa"/>
            <w:vAlign w:val="bottom"/>
            <w:vMerge w:val="continue"/>
            <w:shd w:val="clear" w:color="auto" w:fill="CCECFF"/>
          </w:tcPr>
          <w:p>
            <w:pPr>
              <w:spacing w:after="0"/>
              <w:rPr>
                <w:sz w:val="6"/>
                <w:szCs w:val="6"/>
                <w:color w:val="auto"/>
              </w:rPr>
            </w:pPr>
          </w:p>
        </w:tc>
        <w:tc>
          <w:tcPr>
            <w:tcW w:w="200" w:type="dxa"/>
            <w:vAlign w:val="bottom"/>
            <w:shd w:val="clear" w:color="auto" w:fill="CCECFF"/>
          </w:tcPr>
          <w:p>
            <w:pPr>
              <w:spacing w:after="0"/>
              <w:rPr>
                <w:sz w:val="6"/>
                <w:szCs w:val="6"/>
                <w:color w:val="auto"/>
              </w:rPr>
            </w:pPr>
          </w:p>
        </w:tc>
        <w:tc>
          <w:tcPr>
            <w:tcW w:w="1100" w:type="dxa"/>
            <w:vAlign w:val="bottom"/>
            <w:vMerge w:val="continue"/>
            <w:shd w:val="clear" w:color="auto" w:fill="CCECFF"/>
          </w:tcPr>
          <w:p>
            <w:pPr>
              <w:spacing w:after="0"/>
              <w:rPr>
                <w:sz w:val="6"/>
                <w:szCs w:val="6"/>
                <w:color w:val="auto"/>
              </w:rPr>
            </w:pPr>
          </w:p>
        </w:tc>
        <w:tc>
          <w:tcPr>
            <w:tcW w:w="220" w:type="dxa"/>
            <w:vAlign w:val="bottom"/>
            <w:shd w:val="clear" w:color="auto" w:fill="CCECFF"/>
          </w:tcPr>
          <w:p>
            <w:pPr>
              <w:spacing w:after="0"/>
              <w:rPr>
                <w:sz w:val="6"/>
                <w:szCs w:val="6"/>
                <w:color w:val="auto"/>
              </w:rPr>
            </w:pPr>
          </w:p>
        </w:tc>
        <w:tc>
          <w:tcPr>
            <w:tcW w:w="1100" w:type="dxa"/>
            <w:vAlign w:val="bottom"/>
            <w:vMerge w:val="restart"/>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observable</w:t>
            </w:r>
          </w:p>
        </w:tc>
        <w:tc>
          <w:tcPr>
            <w:tcW w:w="260" w:type="dxa"/>
            <w:vAlign w:val="bottom"/>
            <w:shd w:val="clear" w:color="auto" w:fill="CCECFF"/>
          </w:tcPr>
          <w:p>
            <w:pPr>
              <w:spacing w:after="0"/>
              <w:rPr>
                <w:sz w:val="6"/>
                <w:szCs w:val="6"/>
                <w:color w:val="auto"/>
              </w:rPr>
            </w:pPr>
          </w:p>
        </w:tc>
        <w:tc>
          <w:tcPr>
            <w:tcW w:w="1060" w:type="dxa"/>
            <w:vAlign w:val="bottom"/>
            <w:vMerge w:val="continue"/>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3160" w:type="dxa"/>
            <w:vAlign w:val="bottom"/>
            <w:vMerge w:val="continue"/>
            <w:shd w:val="clear" w:color="auto" w:fill="CCECFF"/>
          </w:tcPr>
          <w:p>
            <w:pPr>
              <w:spacing w:after="0"/>
              <w:rPr>
                <w:sz w:val="6"/>
                <w:szCs w:val="6"/>
                <w:color w:val="auto"/>
              </w:rPr>
            </w:pPr>
          </w:p>
        </w:tc>
        <w:tc>
          <w:tcPr>
            <w:tcW w:w="3160" w:type="dxa"/>
            <w:vAlign w:val="bottom"/>
            <w:shd w:val="clear" w:color="auto" w:fill="CCECFF"/>
          </w:tcPr>
          <w:p>
            <w:pPr>
              <w:spacing w:after="0"/>
              <w:rPr>
                <w:sz w:val="6"/>
                <w:szCs w:val="6"/>
                <w:color w:val="auto"/>
              </w:rPr>
            </w:pPr>
          </w:p>
        </w:tc>
        <w:tc>
          <w:tcPr>
            <w:tcW w:w="1020" w:type="dxa"/>
            <w:vAlign w:val="bottom"/>
            <w:vMerge w:val="restart"/>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shd w:val="clear" w:color="auto" w:fill="CCECFF"/>
          </w:tcPr>
          <w:p>
            <w:pPr>
              <w:spacing w:after="0"/>
              <w:rPr>
                <w:sz w:val="6"/>
                <w:szCs w:val="6"/>
                <w:color w:val="auto"/>
              </w:rPr>
            </w:pPr>
          </w:p>
        </w:tc>
        <w:tc>
          <w:tcPr>
            <w:tcW w:w="1100" w:type="dxa"/>
            <w:vAlign w:val="bottom"/>
            <w:vMerge w:val="restart"/>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for identical</w:t>
            </w:r>
          </w:p>
        </w:tc>
        <w:tc>
          <w:tcPr>
            <w:tcW w:w="220" w:type="dxa"/>
            <w:vAlign w:val="bottom"/>
            <w:shd w:val="clear" w:color="auto" w:fill="CCECFF"/>
          </w:tcPr>
          <w:p>
            <w:pPr>
              <w:spacing w:after="0"/>
              <w:rPr>
                <w:sz w:val="6"/>
                <w:szCs w:val="6"/>
                <w:color w:val="auto"/>
              </w:rPr>
            </w:pPr>
          </w:p>
        </w:tc>
        <w:tc>
          <w:tcPr>
            <w:tcW w:w="1100" w:type="dxa"/>
            <w:vAlign w:val="bottom"/>
            <w:vMerge w:val="continue"/>
            <w:shd w:val="clear" w:color="auto" w:fill="CCECFF"/>
          </w:tcPr>
          <w:p>
            <w:pPr>
              <w:spacing w:after="0"/>
              <w:rPr>
                <w:sz w:val="6"/>
                <w:szCs w:val="6"/>
                <w:color w:val="auto"/>
              </w:rPr>
            </w:pPr>
          </w:p>
        </w:tc>
        <w:tc>
          <w:tcPr>
            <w:tcW w:w="260" w:type="dxa"/>
            <w:vAlign w:val="bottom"/>
            <w:shd w:val="clear" w:color="auto" w:fill="CCECFF"/>
          </w:tcPr>
          <w:p>
            <w:pPr>
              <w:spacing w:after="0"/>
              <w:rPr>
                <w:sz w:val="6"/>
                <w:szCs w:val="6"/>
                <w:color w:val="auto"/>
              </w:rPr>
            </w:pPr>
          </w:p>
        </w:tc>
        <w:tc>
          <w:tcPr>
            <w:tcW w:w="10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inputs (Level 3)</w:t>
            </w:r>
          </w:p>
        </w:tc>
        <w:tc>
          <w:tcPr>
            <w:tcW w:w="0" w:type="dxa"/>
            <w:vAlign w:val="bottom"/>
          </w:tcPr>
          <w:p>
            <w:pPr>
              <w:spacing w:after="0"/>
              <w:rPr>
                <w:sz w:val="1"/>
                <w:szCs w:val="1"/>
                <w:color w:val="auto"/>
              </w:rPr>
            </w:pPr>
          </w:p>
        </w:tc>
      </w:tr>
      <w:tr>
        <w:trPr>
          <w:trHeight w:val="80"/>
        </w:trPr>
        <w:tc>
          <w:tcPr>
            <w:tcW w:w="3160" w:type="dxa"/>
            <w:vAlign w:val="bottom"/>
            <w:shd w:val="clear" w:color="auto" w:fill="CCECFF"/>
          </w:tcPr>
          <w:p>
            <w:pPr>
              <w:spacing w:after="0"/>
              <w:rPr>
                <w:sz w:val="6"/>
                <w:szCs w:val="6"/>
                <w:color w:val="auto"/>
              </w:rPr>
            </w:pPr>
          </w:p>
        </w:tc>
        <w:tc>
          <w:tcPr>
            <w:tcW w:w="3160" w:type="dxa"/>
            <w:vAlign w:val="bottom"/>
            <w:shd w:val="clear" w:color="auto" w:fill="CCECFF"/>
          </w:tcPr>
          <w:p>
            <w:pPr>
              <w:spacing w:after="0"/>
              <w:rPr>
                <w:sz w:val="6"/>
                <w:szCs w:val="6"/>
                <w:color w:val="auto"/>
              </w:rPr>
            </w:pPr>
          </w:p>
        </w:tc>
        <w:tc>
          <w:tcPr>
            <w:tcW w:w="1020" w:type="dxa"/>
            <w:vAlign w:val="bottom"/>
            <w:vMerge w:val="continue"/>
            <w:shd w:val="clear" w:color="auto" w:fill="CCECFF"/>
          </w:tcPr>
          <w:p>
            <w:pPr>
              <w:spacing w:after="0"/>
              <w:rPr>
                <w:sz w:val="6"/>
                <w:szCs w:val="6"/>
                <w:color w:val="auto"/>
              </w:rPr>
            </w:pPr>
          </w:p>
        </w:tc>
        <w:tc>
          <w:tcPr>
            <w:tcW w:w="200" w:type="dxa"/>
            <w:vAlign w:val="bottom"/>
            <w:shd w:val="clear" w:color="auto" w:fill="CCECFF"/>
          </w:tcPr>
          <w:p>
            <w:pPr>
              <w:spacing w:after="0"/>
              <w:rPr>
                <w:sz w:val="6"/>
                <w:szCs w:val="6"/>
                <w:color w:val="auto"/>
              </w:rPr>
            </w:pPr>
          </w:p>
        </w:tc>
        <w:tc>
          <w:tcPr>
            <w:tcW w:w="1100" w:type="dxa"/>
            <w:vAlign w:val="bottom"/>
            <w:vMerge w:val="continue"/>
            <w:shd w:val="clear" w:color="auto" w:fill="CCECFF"/>
          </w:tcPr>
          <w:p>
            <w:pPr>
              <w:spacing w:after="0"/>
              <w:rPr>
                <w:sz w:val="6"/>
                <w:szCs w:val="6"/>
                <w:color w:val="auto"/>
              </w:rPr>
            </w:pPr>
          </w:p>
        </w:tc>
        <w:tc>
          <w:tcPr>
            <w:tcW w:w="220" w:type="dxa"/>
            <w:vAlign w:val="bottom"/>
            <w:shd w:val="clear" w:color="auto" w:fill="CCECFF"/>
          </w:tcPr>
          <w:p>
            <w:pPr>
              <w:spacing w:after="0"/>
              <w:rPr>
                <w:sz w:val="6"/>
                <w:szCs w:val="6"/>
                <w:color w:val="auto"/>
              </w:rPr>
            </w:pPr>
          </w:p>
        </w:tc>
        <w:tc>
          <w:tcPr>
            <w:tcW w:w="1100" w:type="dxa"/>
            <w:vAlign w:val="bottom"/>
            <w:vMerge w:val="restart"/>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inputs (Level 2)</w:t>
            </w:r>
          </w:p>
        </w:tc>
        <w:tc>
          <w:tcPr>
            <w:tcW w:w="260" w:type="dxa"/>
            <w:vAlign w:val="bottom"/>
            <w:shd w:val="clear" w:color="auto" w:fill="CCECFF"/>
          </w:tcPr>
          <w:p>
            <w:pPr>
              <w:spacing w:after="0"/>
              <w:rPr>
                <w:sz w:val="6"/>
                <w:szCs w:val="6"/>
                <w:color w:val="auto"/>
              </w:rPr>
            </w:pPr>
          </w:p>
        </w:tc>
        <w:tc>
          <w:tcPr>
            <w:tcW w:w="1060" w:type="dxa"/>
            <w:vAlign w:val="bottom"/>
            <w:vMerge w:val="continue"/>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3160" w:type="dxa"/>
            <w:vAlign w:val="bottom"/>
            <w:shd w:val="clear" w:color="auto" w:fill="CCECFF"/>
          </w:tcPr>
          <w:p>
            <w:pPr>
              <w:spacing w:after="0"/>
              <w:rPr>
                <w:sz w:val="8"/>
                <w:szCs w:val="8"/>
                <w:color w:val="auto"/>
              </w:rPr>
            </w:pPr>
          </w:p>
        </w:tc>
        <w:tc>
          <w:tcPr>
            <w:tcW w:w="3160" w:type="dxa"/>
            <w:vAlign w:val="bottom"/>
            <w:shd w:val="clear" w:color="auto" w:fill="CCECFF"/>
          </w:tcPr>
          <w:p>
            <w:pPr>
              <w:spacing w:after="0"/>
              <w:rPr>
                <w:sz w:val="8"/>
                <w:szCs w:val="8"/>
                <w:color w:val="auto"/>
              </w:rPr>
            </w:pPr>
          </w:p>
        </w:tc>
        <w:tc>
          <w:tcPr>
            <w:tcW w:w="102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1100" w:type="dxa"/>
            <w:vAlign w:val="bottom"/>
            <w:vMerge w:val="restart"/>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assets (Level 1)</w:t>
            </w:r>
          </w:p>
        </w:tc>
        <w:tc>
          <w:tcPr>
            <w:tcW w:w="220" w:type="dxa"/>
            <w:vAlign w:val="bottom"/>
            <w:shd w:val="clear" w:color="auto" w:fill="CCECFF"/>
          </w:tcPr>
          <w:p>
            <w:pPr>
              <w:spacing w:after="0"/>
              <w:rPr>
                <w:sz w:val="8"/>
                <w:szCs w:val="8"/>
                <w:color w:val="auto"/>
              </w:rPr>
            </w:pPr>
          </w:p>
        </w:tc>
        <w:tc>
          <w:tcPr>
            <w:tcW w:w="1100" w:type="dxa"/>
            <w:vAlign w:val="bottom"/>
            <w:vMerge w:val="continue"/>
            <w:shd w:val="clear" w:color="auto" w:fill="CCECFF"/>
          </w:tcPr>
          <w:p>
            <w:pPr>
              <w:spacing w:after="0"/>
              <w:rPr>
                <w:sz w:val="8"/>
                <w:szCs w:val="8"/>
                <w:color w:val="auto"/>
              </w:rPr>
            </w:pPr>
          </w:p>
        </w:tc>
        <w:tc>
          <w:tcPr>
            <w:tcW w:w="260" w:type="dxa"/>
            <w:vAlign w:val="bottom"/>
            <w:shd w:val="clear" w:color="auto" w:fill="CCECFF"/>
          </w:tcPr>
          <w:p>
            <w:pPr>
              <w:spacing w:after="0"/>
              <w:rPr>
                <w:sz w:val="8"/>
                <w:szCs w:val="8"/>
                <w:color w:val="auto"/>
              </w:rPr>
            </w:pPr>
          </w:p>
        </w:tc>
        <w:tc>
          <w:tcPr>
            <w:tcW w:w="106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3160" w:type="dxa"/>
            <w:vAlign w:val="bottom"/>
            <w:tcBorders>
              <w:bottom w:val="single" w:sz="8" w:color="auto"/>
            </w:tcBorders>
            <w:shd w:val="clear" w:color="auto" w:fill="CCECFF"/>
          </w:tcPr>
          <w:p>
            <w:pPr>
              <w:spacing w:after="0"/>
              <w:rPr>
                <w:sz w:val="6"/>
                <w:szCs w:val="6"/>
                <w:color w:val="auto"/>
              </w:rPr>
            </w:pPr>
          </w:p>
        </w:tc>
        <w:tc>
          <w:tcPr>
            <w:tcW w:w="3160" w:type="dxa"/>
            <w:vAlign w:val="bottom"/>
            <w:tcBorders>
              <w:bottom w:val="single" w:sz="8" w:color="auto"/>
            </w:tcBorders>
            <w:shd w:val="clear" w:color="auto" w:fill="CCECFF"/>
          </w:tcPr>
          <w:p>
            <w:pPr>
              <w:spacing w:after="0"/>
              <w:rPr>
                <w:sz w:val="6"/>
                <w:szCs w:val="6"/>
                <w:color w:val="auto"/>
              </w:rPr>
            </w:pPr>
          </w:p>
        </w:tc>
        <w:tc>
          <w:tcPr>
            <w:tcW w:w="1020" w:type="dxa"/>
            <w:vAlign w:val="bottom"/>
            <w:tcBorders>
              <w:bottom w:val="single" w:sz="8" w:color="auto"/>
            </w:tcBorders>
            <w:shd w:val="clear" w:color="auto" w:fill="CCECFF"/>
          </w:tcPr>
          <w:p>
            <w:pPr>
              <w:spacing w:after="0"/>
              <w:rPr>
                <w:sz w:val="6"/>
                <w:szCs w:val="6"/>
                <w:color w:val="auto"/>
              </w:rPr>
            </w:pPr>
          </w:p>
        </w:tc>
        <w:tc>
          <w:tcPr>
            <w:tcW w:w="200" w:type="dxa"/>
            <w:vAlign w:val="bottom"/>
            <w:tcBorders>
              <w:bottom w:val="single" w:sz="8" w:color="auto"/>
            </w:tcBorders>
            <w:shd w:val="clear" w:color="auto" w:fill="CCECFF"/>
          </w:tcPr>
          <w:p>
            <w:pPr>
              <w:spacing w:after="0"/>
              <w:rPr>
                <w:sz w:val="6"/>
                <w:szCs w:val="6"/>
                <w:color w:val="auto"/>
              </w:rPr>
            </w:pPr>
          </w:p>
        </w:tc>
        <w:tc>
          <w:tcPr>
            <w:tcW w:w="1100" w:type="dxa"/>
            <w:vAlign w:val="bottom"/>
            <w:tcBorders>
              <w:bottom w:val="single" w:sz="8" w:color="auto"/>
            </w:tcBorders>
            <w:vMerge w:val="continue"/>
            <w:shd w:val="clear" w:color="auto" w:fill="CCECFF"/>
          </w:tcPr>
          <w:p>
            <w:pPr>
              <w:spacing w:after="0"/>
              <w:rPr>
                <w:sz w:val="6"/>
                <w:szCs w:val="6"/>
                <w:color w:val="auto"/>
              </w:rPr>
            </w:pPr>
          </w:p>
        </w:tc>
        <w:tc>
          <w:tcPr>
            <w:tcW w:w="220" w:type="dxa"/>
            <w:vAlign w:val="bottom"/>
            <w:tcBorders>
              <w:bottom w:val="single" w:sz="8" w:color="auto"/>
            </w:tcBorders>
            <w:shd w:val="clear" w:color="auto" w:fill="CCECFF"/>
          </w:tcPr>
          <w:p>
            <w:pPr>
              <w:spacing w:after="0"/>
              <w:rPr>
                <w:sz w:val="6"/>
                <w:szCs w:val="6"/>
                <w:color w:val="auto"/>
              </w:rPr>
            </w:pPr>
          </w:p>
        </w:tc>
        <w:tc>
          <w:tcPr>
            <w:tcW w:w="1100" w:type="dxa"/>
            <w:vAlign w:val="bottom"/>
            <w:tcBorders>
              <w:bottom w:val="single" w:sz="8" w:color="auto"/>
            </w:tcBorders>
            <w:shd w:val="clear" w:color="auto" w:fill="CCECFF"/>
          </w:tcPr>
          <w:p>
            <w:pPr>
              <w:spacing w:after="0"/>
              <w:rPr>
                <w:sz w:val="6"/>
                <w:szCs w:val="6"/>
                <w:color w:val="auto"/>
              </w:rPr>
            </w:pPr>
          </w:p>
        </w:tc>
        <w:tc>
          <w:tcPr>
            <w:tcW w:w="260" w:type="dxa"/>
            <w:vAlign w:val="bottom"/>
            <w:tcBorders>
              <w:bottom w:val="single" w:sz="8" w:color="auto"/>
            </w:tcBorders>
            <w:shd w:val="clear" w:color="auto" w:fill="CCECFF"/>
          </w:tcPr>
          <w:p>
            <w:pPr>
              <w:spacing w:after="0"/>
              <w:rPr>
                <w:sz w:val="6"/>
                <w:szCs w:val="6"/>
                <w:color w:val="auto"/>
              </w:rPr>
            </w:pPr>
          </w:p>
        </w:tc>
        <w:tc>
          <w:tcPr>
            <w:tcW w:w="1060" w:type="dxa"/>
            <w:vAlign w:val="bottom"/>
            <w:tcBorders>
              <w:bottom w:val="single" w:sz="8" w:color="auto"/>
            </w:tcBorders>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31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Cross Currency SWAP (100,000) - asset position</w:t>
            </w:r>
          </w:p>
        </w:tc>
        <w:tc>
          <w:tcPr>
            <w:tcW w:w="31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13,682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13,682</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0"/>
        </w:trPr>
        <w:tc>
          <w:tcPr>
            <w:tcW w:w="3160" w:type="dxa"/>
            <w:vAlign w:val="bottom"/>
            <w:tcBorders>
              <w:bottom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160" w:type="dxa"/>
            <w:vAlign w:val="bottom"/>
            <w:tcBorders>
              <w:bottom w:val="single" w:sz="8" w:color="auto"/>
            </w:tcBorders>
            <w:shd w:val="clear" w:color="auto" w:fill="CCECFF"/>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Borders>
              <w:bottom w:val="single" w:sz="8" w:color="auto"/>
            </w:tcBorders>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13,682</w:t>
            </w:r>
          </w:p>
        </w:tc>
        <w:tc>
          <w:tcPr>
            <w:tcW w:w="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Borders>
              <w:bottom w:val="single" w:sz="8" w:color="auto"/>
            </w:tcBorders>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auto"/>
            </w:tcBorders>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13,682</w:t>
            </w:r>
          </w:p>
        </w:tc>
        <w:tc>
          <w:tcPr>
            <w:tcW w:w="260" w:type="dxa"/>
            <w:vAlign w:val="bottom"/>
            <w:tcBorders>
              <w:bottom w:val="single" w:sz="8" w:color="auto"/>
            </w:tcBorders>
            <w:shd w:val="clear" w:color="auto" w:fill="CCECFF"/>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309"/>
        </w:trPr>
        <w:tc>
          <w:tcPr>
            <w:tcW w:w="31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As of December 31, 2024:</w:t>
            </w:r>
          </w:p>
        </w:tc>
        <w:tc>
          <w:tcPr>
            <w:tcW w:w="3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3160" w:type="dxa"/>
            <w:vAlign w:val="bottom"/>
          </w:tcPr>
          <w:p>
            <w:pPr>
              <w:spacing w:after="0"/>
              <w:rPr>
                <w:sz w:val="24"/>
                <w:szCs w:val="24"/>
                <w:color w:val="auto"/>
              </w:rPr>
            </w:pPr>
          </w:p>
        </w:tc>
        <w:tc>
          <w:tcPr>
            <w:tcW w:w="5480" w:type="dxa"/>
            <w:vAlign w:val="bottom"/>
            <w:gridSpan w:val="4"/>
          </w:tcPr>
          <w:p>
            <w:pPr>
              <w:jc w:val="right"/>
              <w:ind w:right="753"/>
              <w:spacing w:after="0"/>
              <w:rPr>
                <w:sz w:val="20"/>
                <w:szCs w:val="20"/>
                <w:color w:val="auto"/>
              </w:rPr>
            </w:pPr>
            <w:r>
              <w:rPr>
                <w:rFonts w:ascii="Times New Roman" w:cs="Times New Roman" w:eastAsia="Times New Roman" w:hAnsi="Times New Roman"/>
                <w:sz w:val="13"/>
                <w:szCs w:val="13"/>
                <w:b w:val="1"/>
                <w:bCs w:val="1"/>
                <w:i w:val="1"/>
                <w:iCs w:val="1"/>
                <w:color w:val="auto"/>
              </w:rPr>
              <w:t>Items Measured at Fair Value on a recurring Basis - Fair Value Measurements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16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160" w:type="dxa"/>
            <w:vAlign w:val="bottom"/>
            <w:shd w:val="clear" w:color="auto" w:fill="CCECFF"/>
          </w:tcPr>
          <w:p>
            <w:pPr>
              <w:spacing w:after="0"/>
              <w:rPr>
                <w:sz w:val="12"/>
                <w:szCs w:val="12"/>
                <w:color w:val="auto"/>
              </w:rPr>
            </w:pPr>
          </w:p>
        </w:tc>
        <w:tc>
          <w:tcPr>
            <w:tcW w:w="316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100" w:type="dxa"/>
            <w:vAlign w:val="bottom"/>
            <w:shd w:val="clear" w:color="auto" w:fill="CCECFF"/>
          </w:tcPr>
          <w:p>
            <w:pPr>
              <w:jc w:val="right"/>
              <w:ind w:right="13"/>
              <w:spacing w:after="0" w:line="145"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220" w:type="dxa"/>
            <w:vAlign w:val="bottom"/>
            <w:shd w:val="clear" w:color="auto" w:fill="CCECFF"/>
          </w:tcPr>
          <w:p>
            <w:pPr>
              <w:spacing w:after="0"/>
              <w:rPr>
                <w:sz w:val="12"/>
                <w:szCs w:val="12"/>
                <w:color w:val="auto"/>
              </w:rPr>
            </w:pPr>
          </w:p>
        </w:tc>
        <w:tc>
          <w:tcPr>
            <w:tcW w:w="1100" w:type="dxa"/>
            <w:vAlign w:val="bottom"/>
            <w:vMerge w:val="restart"/>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Significant other</w:t>
            </w:r>
          </w:p>
        </w:tc>
        <w:tc>
          <w:tcPr>
            <w:tcW w:w="26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3160" w:type="dxa"/>
            <w:vAlign w:val="bottom"/>
            <w:shd w:val="clear" w:color="auto" w:fill="CCECFF"/>
          </w:tcPr>
          <w:p>
            <w:pPr>
              <w:spacing w:after="0"/>
              <w:rPr>
                <w:sz w:val="6"/>
                <w:szCs w:val="6"/>
                <w:color w:val="auto"/>
              </w:rPr>
            </w:pPr>
          </w:p>
        </w:tc>
        <w:tc>
          <w:tcPr>
            <w:tcW w:w="3160" w:type="dxa"/>
            <w:vAlign w:val="bottom"/>
            <w:shd w:val="clear" w:color="auto" w:fill="CCECFF"/>
          </w:tcPr>
          <w:p>
            <w:pPr>
              <w:spacing w:after="0"/>
              <w:rPr>
                <w:sz w:val="6"/>
                <w:szCs w:val="6"/>
                <w:color w:val="auto"/>
              </w:rPr>
            </w:pPr>
          </w:p>
        </w:tc>
        <w:tc>
          <w:tcPr>
            <w:tcW w:w="1020" w:type="dxa"/>
            <w:vAlign w:val="bottom"/>
            <w:vMerge w:val="restart"/>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shd w:val="clear" w:color="auto" w:fill="CCECFF"/>
          </w:tcPr>
          <w:p>
            <w:pPr>
              <w:spacing w:after="0"/>
              <w:rPr>
                <w:sz w:val="6"/>
                <w:szCs w:val="6"/>
                <w:color w:val="auto"/>
              </w:rPr>
            </w:pPr>
          </w:p>
        </w:tc>
        <w:tc>
          <w:tcPr>
            <w:tcW w:w="1100" w:type="dxa"/>
            <w:vAlign w:val="bottom"/>
            <w:vMerge w:val="restart"/>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active markets</w:t>
            </w:r>
          </w:p>
        </w:tc>
        <w:tc>
          <w:tcPr>
            <w:tcW w:w="220" w:type="dxa"/>
            <w:vAlign w:val="bottom"/>
            <w:shd w:val="clear" w:color="auto" w:fill="CCECFF"/>
          </w:tcPr>
          <w:p>
            <w:pPr>
              <w:spacing w:after="0"/>
              <w:rPr>
                <w:sz w:val="6"/>
                <w:szCs w:val="6"/>
                <w:color w:val="auto"/>
              </w:rPr>
            </w:pPr>
          </w:p>
        </w:tc>
        <w:tc>
          <w:tcPr>
            <w:tcW w:w="1100" w:type="dxa"/>
            <w:vAlign w:val="bottom"/>
            <w:vMerge w:val="continue"/>
            <w:shd w:val="clear" w:color="auto" w:fill="CCECFF"/>
          </w:tcPr>
          <w:p>
            <w:pPr>
              <w:spacing w:after="0"/>
              <w:rPr>
                <w:sz w:val="6"/>
                <w:szCs w:val="6"/>
                <w:color w:val="auto"/>
              </w:rPr>
            </w:pPr>
          </w:p>
        </w:tc>
        <w:tc>
          <w:tcPr>
            <w:tcW w:w="260" w:type="dxa"/>
            <w:vAlign w:val="bottom"/>
            <w:shd w:val="clear" w:color="auto" w:fill="CCECFF"/>
          </w:tcPr>
          <w:p>
            <w:pPr>
              <w:spacing w:after="0"/>
              <w:rPr>
                <w:sz w:val="6"/>
                <w:szCs w:val="6"/>
                <w:color w:val="auto"/>
              </w:rPr>
            </w:pPr>
          </w:p>
        </w:tc>
        <w:tc>
          <w:tcPr>
            <w:tcW w:w="10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Unobservable</w:t>
            </w:r>
          </w:p>
        </w:tc>
        <w:tc>
          <w:tcPr>
            <w:tcW w:w="0" w:type="dxa"/>
            <w:vAlign w:val="bottom"/>
          </w:tcPr>
          <w:p>
            <w:pPr>
              <w:spacing w:after="0"/>
              <w:rPr>
                <w:sz w:val="1"/>
                <w:szCs w:val="1"/>
                <w:color w:val="auto"/>
              </w:rPr>
            </w:pPr>
          </w:p>
        </w:tc>
      </w:tr>
      <w:tr>
        <w:trPr>
          <w:trHeight w:val="80"/>
        </w:trPr>
        <w:tc>
          <w:tcPr>
            <w:tcW w:w="3160" w:type="dxa"/>
            <w:vAlign w:val="bottom"/>
            <w:vMerge w:val="restart"/>
            <w:shd w:val="clear" w:color="auto" w:fill="CCECFF"/>
          </w:tcPr>
          <w:p>
            <w:pPr>
              <w:ind w:left="80"/>
              <w:spacing w:after="0"/>
              <w:rPr>
                <w:sz w:val="20"/>
                <w:szCs w:val="20"/>
                <w:color w:val="auto"/>
              </w:rPr>
            </w:pPr>
            <w:r>
              <w:rPr>
                <w:rFonts w:ascii="Times New Roman" w:cs="Times New Roman" w:eastAsia="Times New Roman" w:hAnsi="Times New Roman"/>
                <w:sz w:val="13"/>
                <w:szCs w:val="13"/>
                <w:b w:val="1"/>
                <w:bCs w:val="1"/>
                <w:color w:val="auto"/>
              </w:rPr>
              <w:t>Recurring measurements:</w:t>
            </w:r>
          </w:p>
        </w:tc>
        <w:tc>
          <w:tcPr>
            <w:tcW w:w="3160" w:type="dxa"/>
            <w:vAlign w:val="bottom"/>
            <w:shd w:val="clear" w:color="auto" w:fill="CCECFF"/>
          </w:tcPr>
          <w:p>
            <w:pPr>
              <w:spacing w:after="0"/>
              <w:rPr>
                <w:sz w:val="6"/>
                <w:szCs w:val="6"/>
                <w:color w:val="auto"/>
              </w:rPr>
            </w:pPr>
          </w:p>
        </w:tc>
        <w:tc>
          <w:tcPr>
            <w:tcW w:w="1020" w:type="dxa"/>
            <w:vAlign w:val="bottom"/>
            <w:vMerge w:val="continue"/>
            <w:shd w:val="clear" w:color="auto" w:fill="CCECFF"/>
          </w:tcPr>
          <w:p>
            <w:pPr>
              <w:spacing w:after="0"/>
              <w:rPr>
                <w:sz w:val="6"/>
                <w:szCs w:val="6"/>
                <w:color w:val="auto"/>
              </w:rPr>
            </w:pPr>
          </w:p>
        </w:tc>
        <w:tc>
          <w:tcPr>
            <w:tcW w:w="200" w:type="dxa"/>
            <w:vAlign w:val="bottom"/>
            <w:shd w:val="clear" w:color="auto" w:fill="CCECFF"/>
          </w:tcPr>
          <w:p>
            <w:pPr>
              <w:spacing w:after="0"/>
              <w:rPr>
                <w:sz w:val="6"/>
                <w:szCs w:val="6"/>
                <w:color w:val="auto"/>
              </w:rPr>
            </w:pPr>
          </w:p>
        </w:tc>
        <w:tc>
          <w:tcPr>
            <w:tcW w:w="1100" w:type="dxa"/>
            <w:vAlign w:val="bottom"/>
            <w:vMerge w:val="continue"/>
            <w:shd w:val="clear" w:color="auto" w:fill="CCECFF"/>
          </w:tcPr>
          <w:p>
            <w:pPr>
              <w:spacing w:after="0"/>
              <w:rPr>
                <w:sz w:val="6"/>
                <w:szCs w:val="6"/>
                <w:color w:val="auto"/>
              </w:rPr>
            </w:pPr>
          </w:p>
        </w:tc>
        <w:tc>
          <w:tcPr>
            <w:tcW w:w="220" w:type="dxa"/>
            <w:vAlign w:val="bottom"/>
            <w:shd w:val="clear" w:color="auto" w:fill="CCECFF"/>
          </w:tcPr>
          <w:p>
            <w:pPr>
              <w:spacing w:after="0"/>
              <w:rPr>
                <w:sz w:val="6"/>
                <w:szCs w:val="6"/>
                <w:color w:val="auto"/>
              </w:rPr>
            </w:pPr>
          </w:p>
        </w:tc>
        <w:tc>
          <w:tcPr>
            <w:tcW w:w="1100" w:type="dxa"/>
            <w:vAlign w:val="bottom"/>
            <w:vMerge w:val="restart"/>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observable</w:t>
            </w:r>
          </w:p>
        </w:tc>
        <w:tc>
          <w:tcPr>
            <w:tcW w:w="260" w:type="dxa"/>
            <w:vAlign w:val="bottom"/>
            <w:shd w:val="clear" w:color="auto" w:fill="CCECFF"/>
          </w:tcPr>
          <w:p>
            <w:pPr>
              <w:spacing w:after="0"/>
              <w:rPr>
                <w:sz w:val="6"/>
                <w:szCs w:val="6"/>
                <w:color w:val="auto"/>
              </w:rPr>
            </w:pPr>
          </w:p>
        </w:tc>
        <w:tc>
          <w:tcPr>
            <w:tcW w:w="1060" w:type="dxa"/>
            <w:vAlign w:val="bottom"/>
            <w:vMerge w:val="continue"/>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3160" w:type="dxa"/>
            <w:vAlign w:val="bottom"/>
            <w:vMerge w:val="continue"/>
            <w:shd w:val="clear" w:color="auto" w:fill="CCECFF"/>
          </w:tcPr>
          <w:p>
            <w:pPr>
              <w:spacing w:after="0"/>
              <w:rPr>
                <w:sz w:val="6"/>
                <w:szCs w:val="6"/>
                <w:color w:val="auto"/>
              </w:rPr>
            </w:pPr>
          </w:p>
        </w:tc>
        <w:tc>
          <w:tcPr>
            <w:tcW w:w="3160" w:type="dxa"/>
            <w:vAlign w:val="bottom"/>
            <w:shd w:val="clear" w:color="auto" w:fill="CCECFF"/>
          </w:tcPr>
          <w:p>
            <w:pPr>
              <w:spacing w:after="0"/>
              <w:rPr>
                <w:sz w:val="6"/>
                <w:szCs w:val="6"/>
                <w:color w:val="auto"/>
              </w:rPr>
            </w:pPr>
          </w:p>
        </w:tc>
        <w:tc>
          <w:tcPr>
            <w:tcW w:w="1020" w:type="dxa"/>
            <w:vAlign w:val="bottom"/>
            <w:vMerge w:val="restart"/>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shd w:val="clear" w:color="auto" w:fill="CCECFF"/>
          </w:tcPr>
          <w:p>
            <w:pPr>
              <w:spacing w:after="0"/>
              <w:rPr>
                <w:sz w:val="6"/>
                <w:szCs w:val="6"/>
                <w:color w:val="auto"/>
              </w:rPr>
            </w:pPr>
          </w:p>
        </w:tc>
        <w:tc>
          <w:tcPr>
            <w:tcW w:w="1100" w:type="dxa"/>
            <w:vAlign w:val="bottom"/>
            <w:vMerge w:val="restart"/>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for identical</w:t>
            </w:r>
          </w:p>
        </w:tc>
        <w:tc>
          <w:tcPr>
            <w:tcW w:w="220" w:type="dxa"/>
            <w:vAlign w:val="bottom"/>
            <w:shd w:val="clear" w:color="auto" w:fill="CCECFF"/>
          </w:tcPr>
          <w:p>
            <w:pPr>
              <w:spacing w:after="0"/>
              <w:rPr>
                <w:sz w:val="6"/>
                <w:szCs w:val="6"/>
                <w:color w:val="auto"/>
              </w:rPr>
            </w:pPr>
          </w:p>
        </w:tc>
        <w:tc>
          <w:tcPr>
            <w:tcW w:w="1100" w:type="dxa"/>
            <w:vAlign w:val="bottom"/>
            <w:vMerge w:val="continue"/>
            <w:shd w:val="clear" w:color="auto" w:fill="CCECFF"/>
          </w:tcPr>
          <w:p>
            <w:pPr>
              <w:spacing w:after="0"/>
              <w:rPr>
                <w:sz w:val="6"/>
                <w:szCs w:val="6"/>
                <w:color w:val="auto"/>
              </w:rPr>
            </w:pPr>
          </w:p>
        </w:tc>
        <w:tc>
          <w:tcPr>
            <w:tcW w:w="260" w:type="dxa"/>
            <w:vAlign w:val="bottom"/>
            <w:shd w:val="clear" w:color="auto" w:fill="CCECFF"/>
          </w:tcPr>
          <w:p>
            <w:pPr>
              <w:spacing w:after="0"/>
              <w:rPr>
                <w:sz w:val="6"/>
                <w:szCs w:val="6"/>
                <w:color w:val="auto"/>
              </w:rPr>
            </w:pPr>
          </w:p>
        </w:tc>
        <w:tc>
          <w:tcPr>
            <w:tcW w:w="10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inputs (Level 3)</w:t>
            </w:r>
          </w:p>
        </w:tc>
        <w:tc>
          <w:tcPr>
            <w:tcW w:w="0" w:type="dxa"/>
            <w:vAlign w:val="bottom"/>
          </w:tcPr>
          <w:p>
            <w:pPr>
              <w:spacing w:after="0"/>
              <w:rPr>
                <w:sz w:val="1"/>
                <w:szCs w:val="1"/>
                <w:color w:val="auto"/>
              </w:rPr>
            </w:pPr>
          </w:p>
        </w:tc>
      </w:tr>
      <w:tr>
        <w:trPr>
          <w:trHeight w:val="80"/>
        </w:trPr>
        <w:tc>
          <w:tcPr>
            <w:tcW w:w="3160" w:type="dxa"/>
            <w:vAlign w:val="bottom"/>
            <w:shd w:val="clear" w:color="auto" w:fill="CCECFF"/>
          </w:tcPr>
          <w:p>
            <w:pPr>
              <w:spacing w:after="0"/>
              <w:rPr>
                <w:sz w:val="6"/>
                <w:szCs w:val="6"/>
                <w:color w:val="auto"/>
              </w:rPr>
            </w:pPr>
          </w:p>
        </w:tc>
        <w:tc>
          <w:tcPr>
            <w:tcW w:w="3160" w:type="dxa"/>
            <w:vAlign w:val="bottom"/>
            <w:shd w:val="clear" w:color="auto" w:fill="CCECFF"/>
          </w:tcPr>
          <w:p>
            <w:pPr>
              <w:spacing w:after="0"/>
              <w:rPr>
                <w:sz w:val="6"/>
                <w:szCs w:val="6"/>
                <w:color w:val="auto"/>
              </w:rPr>
            </w:pPr>
          </w:p>
        </w:tc>
        <w:tc>
          <w:tcPr>
            <w:tcW w:w="1020" w:type="dxa"/>
            <w:vAlign w:val="bottom"/>
            <w:vMerge w:val="continue"/>
            <w:shd w:val="clear" w:color="auto" w:fill="CCECFF"/>
          </w:tcPr>
          <w:p>
            <w:pPr>
              <w:spacing w:after="0"/>
              <w:rPr>
                <w:sz w:val="6"/>
                <w:szCs w:val="6"/>
                <w:color w:val="auto"/>
              </w:rPr>
            </w:pPr>
          </w:p>
        </w:tc>
        <w:tc>
          <w:tcPr>
            <w:tcW w:w="200" w:type="dxa"/>
            <w:vAlign w:val="bottom"/>
            <w:shd w:val="clear" w:color="auto" w:fill="CCECFF"/>
          </w:tcPr>
          <w:p>
            <w:pPr>
              <w:spacing w:after="0"/>
              <w:rPr>
                <w:sz w:val="6"/>
                <w:szCs w:val="6"/>
                <w:color w:val="auto"/>
              </w:rPr>
            </w:pPr>
          </w:p>
        </w:tc>
        <w:tc>
          <w:tcPr>
            <w:tcW w:w="1100" w:type="dxa"/>
            <w:vAlign w:val="bottom"/>
            <w:vMerge w:val="continue"/>
            <w:shd w:val="clear" w:color="auto" w:fill="CCECFF"/>
          </w:tcPr>
          <w:p>
            <w:pPr>
              <w:spacing w:after="0"/>
              <w:rPr>
                <w:sz w:val="6"/>
                <w:szCs w:val="6"/>
                <w:color w:val="auto"/>
              </w:rPr>
            </w:pPr>
          </w:p>
        </w:tc>
        <w:tc>
          <w:tcPr>
            <w:tcW w:w="220" w:type="dxa"/>
            <w:vAlign w:val="bottom"/>
            <w:shd w:val="clear" w:color="auto" w:fill="CCECFF"/>
          </w:tcPr>
          <w:p>
            <w:pPr>
              <w:spacing w:after="0"/>
              <w:rPr>
                <w:sz w:val="6"/>
                <w:szCs w:val="6"/>
                <w:color w:val="auto"/>
              </w:rPr>
            </w:pPr>
          </w:p>
        </w:tc>
        <w:tc>
          <w:tcPr>
            <w:tcW w:w="1100" w:type="dxa"/>
            <w:vAlign w:val="bottom"/>
            <w:vMerge w:val="restart"/>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inputs (Level 2)</w:t>
            </w:r>
          </w:p>
        </w:tc>
        <w:tc>
          <w:tcPr>
            <w:tcW w:w="260" w:type="dxa"/>
            <w:vAlign w:val="bottom"/>
            <w:shd w:val="clear" w:color="auto" w:fill="CCECFF"/>
          </w:tcPr>
          <w:p>
            <w:pPr>
              <w:spacing w:after="0"/>
              <w:rPr>
                <w:sz w:val="6"/>
                <w:szCs w:val="6"/>
                <w:color w:val="auto"/>
              </w:rPr>
            </w:pPr>
          </w:p>
        </w:tc>
        <w:tc>
          <w:tcPr>
            <w:tcW w:w="1060" w:type="dxa"/>
            <w:vAlign w:val="bottom"/>
            <w:vMerge w:val="continue"/>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3160" w:type="dxa"/>
            <w:vAlign w:val="bottom"/>
            <w:shd w:val="clear" w:color="auto" w:fill="CCECFF"/>
          </w:tcPr>
          <w:p>
            <w:pPr>
              <w:spacing w:after="0"/>
              <w:rPr>
                <w:sz w:val="8"/>
                <w:szCs w:val="8"/>
                <w:color w:val="auto"/>
              </w:rPr>
            </w:pPr>
          </w:p>
        </w:tc>
        <w:tc>
          <w:tcPr>
            <w:tcW w:w="3160" w:type="dxa"/>
            <w:vAlign w:val="bottom"/>
            <w:shd w:val="clear" w:color="auto" w:fill="CCECFF"/>
          </w:tcPr>
          <w:p>
            <w:pPr>
              <w:spacing w:after="0"/>
              <w:rPr>
                <w:sz w:val="8"/>
                <w:szCs w:val="8"/>
                <w:color w:val="auto"/>
              </w:rPr>
            </w:pPr>
          </w:p>
        </w:tc>
        <w:tc>
          <w:tcPr>
            <w:tcW w:w="102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1100" w:type="dxa"/>
            <w:vAlign w:val="bottom"/>
            <w:vMerge w:val="restart"/>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assets (Level 1)</w:t>
            </w:r>
          </w:p>
        </w:tc>
        <w:tc>
          <w:tcPr>
            <w:tcW w:w="220" w:type="dxa"/>
            <w:vAlign w:val="bottom"/>
            <w:shd w:val="clear" w:color="auto" w:fill="CCECFF"/>
          </w:tcPr>
          <w:p>
            <w:pPr>
              <w:spacing w:after="0"/>
              <w:rPr>
                <w:sz w:val="8"/>
                <w:szCs w:val="8"/>
                <w:color w:val="auto"/>
              </w:rPr>
            </w:pPr>
          </w:p>
        </w:tc>
        <w:tc>
          <w:tcPr>
            <w:tcW w:w="1100" w:type="dxa"/>
            <w:vAlign w:val="bottom"/>
            <w:vMerge w:val="continue"/>
            <w:shd w:val="clear" w:color="auto" w:fill="CCECFF"/>
          </w:tcPr>
          <w:p>
            <w:pPr>
              <w:spacing w:after="0"/>
              <w:rPr>
                <w:sz w:val="8"/>
                <w:szCs w:val="8"/>
                <w:color w:val="auto"/>
              </w:rPr>
            </w:pPr>
          </w:p>
        </w:tc>
        <w:tc>
          <w:tcPr>
            <w:tcW w:w="260" w:type="dxa"/>
            <w:vAlign w:val="bottom"/>
            <w:shd w:val="clear" w:color="auto" w:fill="CCECFF"/>
          </w:tcPr>
          <w:p>
            <w:pPr>
              <w:spacing w:after="0"/>
              <w:rPr>
                <w:sz w:val="8"/>
                <w:szCs w:val="8"/>
                <w:color w:val="auto"/>
              </w:rPr>
            </w:pPr>
          </w:p>
        </w:tc>
        <w:tc>
          <w:tcPr>
            <w:tcW w:w="106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3160" w:type="dxa"/>
            <w:vAlign w:val="bottom"/>
            <w:tcBorders>
              <w:bottom w:val="single" w:sz="8" w:color="auto"/>
            </w:tcBorders>
            <w:shd w:val="clear" w:color="auto" w:fill="CCECFF"/>
          </w:tcPr>
          <w:p>
            <w:pPr>
              <w:spacing w:after="0"/>
              <w:rPr>
                <w:sz w:val="6"/>
                <w:szCs w:val="6"/>
                <w:color w:val="auto"/>
              </w:rPr>
            </w:pPr>
          </w:p>
        </w:tc>
        <w:tc>
          <w:tcPr>
            <w:tcW w:w="3160" w:type="dxa"/>
            <w:vAlign w:val="bottom"/>
            <w:tcBorders>
              <w:bottom w:val="single" w:sz="8" w:color="auto"/>
            </w:tcBorders>
            <w:shd w:val="clear" w:color="auto" w:fill="CCECFF"/>
          </w:tcPr>
          <w:p>
            <w:pPr>
              <w:spacing w:after="0"/>
              <w:rPr>
                <w:sz w:val="6"/>
                <w:szCs w:val="6"/>
                <w:color w:val="auto"/>
              </w:rPr>
            </w:pPr>
          </w:p>
        </w:tc>
        <w:tc>
          <w:tcPr>
            <w:tcW w:w="1020" w:type="dxa"/>
            <w:vAlign w:val="bottom"/>
            <w:tcBorders>
              <w:bottom w:val="single" w:sz="8" w:color="auto"/>
            </w:tcBorders>
            <w:shd w:val="clear" w:color="auto" w:fill="CCECFF"/>
          </w:tcPr>
          <w:p>
            <w:pPr>
              <w:spacing w:after="0"/>
              <w:rPr>
                <w:sz w:val="6"/>
                <w:szCs w:val="6"/>
                <w:color w:val="auto"/>
              </w:rPr>
            </w:pPr>
          </w:p>
        </w:tc>
        <w:tc>
          <w:tcPr>
            <w:tcW w:w="200" w:type="dxa"/>
            <w:vAlign w:val="bottom"/>
            <w:tcBorders>
              <w:bottom w:val="single" w:sz="8" w:color="auto"/>
            </w:tcBorders>
            <w:shd w:val="clear" w:color="auto" w:fill="CCECFF"/>
          </w:tcPr>
          <w:p>
            <w:pPr>
              <w:spacing w:after="0"/>
              <w:rPr>
                <w:sz w:val="6"/>
                <w:szCs w:val="6"/>
                <w:color w:val="auto"/>
              </w:rPr>
            </w:pPr>
          </w:p>
        </w:tc>
        <w:tc>
          <w:tcPr>
            <w:tcW w:w="1100" w:type="dxa"/>
            <w:vAlign w:val="bottom"/>
            <w:tcBorders>
              <w:bottom w:val="single" w:sz="8" w:color="auto"/>
            </w:tcBorders>
            <w:vMerge w:val="continue"/>
            <w:shd w:val="clear" w:color="auto" w:fill="CCECFF"/>
          </w:tcPr>
          <w:p>
            <w:pPr>
              <w:spacing w:after="0"/>
              <w:rPr>
                <w:sz w:val="6"/>
                <w:szCs w:val="6"/>
                <w:color w:val="auto"/>
              </w:rPr>
            </w:pPr>
          </w:p>
        </w:tc>
        <w:tc>
          <w:tcPr>
            <w:tcW w:w="220" w:type="dxa"/>
            <w:vAlign w:val="bottom"/>
            <w:tcBorders>
              <w:bottom w:val="single" w:sz="8" w:color="auto"/>
            </w:tcBorders>
            <w:shd w:val="clear" w:color="auto" w:fill="CCECFF"/>
          </w:tcPr>
          <w:p>
            <w:pPr>
              <w:spacing w:after="0"/>
              <w:rPr>
                <w:sz w:val="6"/>
                <w:szCs w:val="6"/>
                <w:color w:val="auto"/>
              </w:rPr>
            </w:pPr>
          </w:p>
        </w:tc>
        <w:tc>
          <w:tcPr>
            <w:tcW w:w="1100" w:type="dxa"/>
            <w:vAlign w:val="bottom"/>
            <w:tcBorders>
              <w:bottom w:val="single" w:sz="8" w:color="auto"/>
            </w:tcBorders>
            <w:shd w:val="clear" w:color="auto" w:fill="CCECFF"/>
          </w:tcPr>
          <w:p>
            <w:pPr>
              <w:spacing w:after="0"/>
              <w:rPr>
                <w:sz w:val="6"/>
                <w:szCs w:val="6"/>
                <w:color w:val="auto"/>
              </w:rPr>
            </w:pPr>
          </w:p>
        </w:tc>
        <w:tc>
          <w:tcPr>
            <w:tcW w:w="260" w:type="dxa"/>
            <w:vAlign w:val="bottom"/>
            <w:tcBorders>
              <w:bottom w:val="single" w:sz="8" w:color="auto"/>
            </w:tcBorders>
            <w:shd w:val="clear" w:color="auto" w:fill="CCECFF"/>
          </w:tcPr>
          <w:p>
            <w:pPr>
              <w:spacing w:after="0"/>
              <w:rPr>
                <w:sz w:val="6"/>
                <w:szCs w:val="6"/>
                <w:color w:val="auto"/>
              </w:rPr>
            </w:pPr>
          </w:p>
        </w:tc>
        <w:tc>
          <w:tcPr>
            <w:tcW w:w="1060" w:type="dxa"/>
            <w:vAlign w:val="bottom"/>
            <w:tcBorders>
              <w:bottom w:val="single" w:sz="8" w:color="auto"/>
            </w:tcBorders>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3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Cross Currency SWAP (100,000) - asset position</w:t>
            </w:r>
          </w:p>
        </w:tc>
        <w:tc>
          <w:tcPr>
            <w:tcW w:w="31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1,574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1,574</w:t>
            </w: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316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3"/>
                <w:szCs w:val="13"/>
                <w:color w:val="auto"/>
              </w:rPr>
              <w:t>Cross Currency SWAP (120,000) - liability position</w:t>
            </w:r>
          </w:p>
        </w:tc>
        <w:tc>
          <w:tcPr>
            <w:tcW w:w="3160" w:type="dxa"/>
            <w:vAlign w:val="bottom"/>
            <w:shd w:val="clear" w:color="auto" w:fill="CCECFF"/>
          </w:tcPr>
          <w:p>
            <w:pPr>
              <w:spacing w:after="0"/>
              <w:rPr>
                <w:sz w:val="15"/>
                <w:szCs w:val="15"/>
                <w:color w:val="auto"/>
              </w:rPr>
            </w:pPr>
          </w:p>
        </w:tc>
        <w:tc>
          <w:tcPr>
            <w:tcW w:w="1020" w:type="dxa"/>
            <w:vAlign w:val="bottom"/>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color w:val="auto"/>
              </w:rPr>
              <w:t>(14,588)</w:t>
            </w:r>
          </w:p>
        </w:tc>
        <w:tc>
          <w:tcPr>
            <w:tcW w:w="200" w:type="dxa"/>
            <w:vAlign w:val="bottom"/>
            <w:shd w:val="clear" w:color="auto" w:fill="CCECFF"/>
          </w:tcPr>
          <w:p>
            <w:pPr>
              <w:spacing w:after="0"/>
              <w:rPr>
                <w:sz w:val="15"/>
                <w:szCs w:val="15"/>
                <w:color w:val="auto"/>
              </w:rPr>
            </w:pPr>
          </w:p>
        </w:tc>
        <w:tc>
          <w:tcPr>
            <w:tcW w:w="1100" w:type="dxa"/>
            <w:vAlign w:val="bottom"/>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5"/>
                <w:szCs w:val="15"/>
                <w:color w:val="auto"/>
              </w:rPr>
            </w:pPr>
          </w:p>
        </w:tc>
        <w:tc>
          <w:tcPr>
            <w:tcW w:w="1100" w:type="dxa"/>
            <w:vAlign w:val="bottom"/>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color w:val="auto"/>
              </w:rPr>
              <w:t>(14,588)</w:t>
            </w:r>
          </w:p>
        </w:tc>
        <w:tc>
          <w:tcPr>
            <w:tcW w:w="26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1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Cross Currency SWAP (30,000) - liability position</w:t>
            </w:r>
          </w:p>
        </w:tc>
        <w:tc>
          <w:tcPr>
            <w:tcW w:w="31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(3,526)</w:t>
            </w: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(3,526)</w:t>
            </w: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3160" w:type="dxa"/>
            <w:vAlign w:val="bottom"/>
            <w:tcBorders>
              <w:bottom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160" w:type="dxa"/>
            <w:vAlign w:val="bottom"/>
            <w:tcBorders>
              <w:bottom w:val="single" w:sz="8" w:color="auto"/>
            </w:tcBorders>
            <w:shd w:val="clear" w:color="auto" w:fill="CCECFF"/>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Borders>
              <w:bottom w:val="single" w:sz="8" w:color="auto"/>
            </w:tcBorders>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(16,540)</w:t>
            </w:r>
          </w:p>
        </w:tc>
        <w:tc>
          <w:tcPr>
            <w:tcW w:w="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Borders>
              <w:bottom w:val="single" w:sz="8" w:color="auto"/>
            </w:tcBorders>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auto"/>
            </w:tcBorders>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(16,540)</w:t>
            </w:r>
          </w:p>
        </w:tc>
        <w:tc>
          <w:tcPr>
            <w:tcW w:w="260" w:type="dxa"/>
            <w:vAlign w:val="bottom"/>
            <w:tcBorders>
              <w:bottom w:val="single" w:sz="8" w:color="auto"/>
            </w:tcBorders>
            <w:shd w:val="clear" w:color="auto" w:fill="CCECFF"/>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-1476375</wp:posOffset>
            </wp:positionV>
            <wp:extent cx="7167880" cy="1079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3">
                      <a:extLst>
                        <a:ext uri="{28A0092B-C50C-407E-A947-70E740481C1C}"/>
                      </a:extLst>
                    </a:blip>
                    <a:srcRect/>
                    <a:stretch>
                      <a:fillRect/>
                    </a:stretch>
                  </pic:blipFill>
                  <pic:spPr bwMode="auto">
                    <a:xfrm>
                      <a:off x="0" y="0"/>
                      <a:ext cx="7167880" cy="1079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-854710</wp:posOffset>
            </wp:positionV>
            <wp:extent cx="7167880" cy="4057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4">
                      <a:extLst>
                        <a:ext uri="{28A0092B-C50C-407E-A947-70E740481C1C}"/>
                      </a:extLst>
                    </a:blip>
                    <a:srcRect/>
                    <a:stretch>
                      <a:fillRect/>
                    </a:stretch>
                  </pic:blipFill>
                  <pic:spPr bwMode="auto">
                    <a:xfrm>
                      <a:off x="0" y="0"/>
                      <a:ext cx="7167880" cy="405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-341630</wp:posOffset>
            </wp:positionV>
            <wp:extent cx="7167880" cy="1143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extLst>
                        <a:ext uri="{28A0092B-C50C-407E-A947-70E740481C1C}"/>
                      </a:extLst>
                    </a:blip>
                    <a:srcRect/>
                    <a:stretch>
                      <a:fillRect/>
                    </a:stretch>
                  </pic:blipFill>
                  <pic:spPr bwMode="auto">
                    <a:xfrm>
                      <a:off x="0" y="0"/>
                      <a:ext cx="7167880" cy="1143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-113665</wp:posOffset>
            </wp:positionV>
            <wp:extent cx="7167880" cy="1079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6">
                      <a:extLst>
                        <a:ext uri="{28A0092B-C50C-407E-A947-70E740481C1C}"/>
                      </a:extLst>
                    </a:blip>
                    <a:srcRect/>
                    <a:stretch>
                      <a:fillRect/>
                    </a:stretch>
                  </pic:blipFill>
                  <pic:spPr bwMode="auto">
                    <a:xfrm>
                      <a:off x="0" y="0"/>
                      <a:ext cx="7167880" cy="107950"/>
                    </a:xfrm>
                    <a:prstGeom prst="rect">
                      <a:avLst/>
                    </a:prstGeom>
                    <a:noFill/>
                  </pic:spPr>
                </pic:pic>
              </a:graphicData>
            </a:graphic>
          </wp:anchor>
        </w:drawing>
      </w:r>
    </w:p>
    <w:p>
      <w:pPr>
        <w:spacing w:after="0" w:line="1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The fair value (Level 2) of cross-currency swap derivative agreements is the present value of the estimated future cash flows that the Company would receive or pay to terminate the agreements at the balance sheet date, taking into account, as applicable, current interest rates, foreign exchange rates and the credit worthiness of both us and the derivative counterparty. This line item is presented in “Derivative asset” and “Derivative liabilities” in the consolidated balance sheets.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There were no Level 3 items.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 Concentration of credit risk</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3"/>
          <w:szCs w:val="13"/>
          <w:color w:val="auto"/>
        </w:rPr>
        <w:t>Financial instruments which potentially subject the Company to significant concentrations of credit risk consist principally of cash and cash equivalents and trade accounts receivable. The Company places its cash and cash equivalents, consisting mostly of deposits, with a limited number of creditworthy financial institutions rated by qualified rating agencies. Most of the Company’s revenues were derived from a few charterers.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the years ended December 31, 2025, 2024 and 2023, the following charterers accounted for more than 10% of the Company’s revenues.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980" w:type="dxa"/>
            <w:vAlign w:val="bottom"/>
            <w:gridSpan w:val="2"/>
          </w:tcPr>
          <w:p>
            <w:pPr>
              <w:ind w:left="6540"/>
              <w:spacing w:after="0"/>
              <w:rPr>
                <w:sz w:val="20"/>
                <w:szCs w:val="20"/>
                <w:color w:val="auto"/>
              </w:rPr>
            </w:pPr>
            <w:r>
              <w:rPr>
                <w:rFonts w:ascii="Times New Roman" w:cs="Times New Roman" w:eastAsia="Times New Roman" w:hAnsi="Times New Roman"/>
                <w:sz w:val="13"/>
                <w:szCs w:val="13"/>
                <w:b w:val="1"/>
                <w:bCs w:val="1"/>
                <w:color w:val="auto"/>
              </w:rPr>
              <w:t>2025</w:t>
            </w:r>
          </w:p>
        </w:tc>
        <w:tc>
          <w:tcPr>
            <w:tcW w:w="940" w:type="dxa"/>
            <w:vAlign w:val="bottom"/>
          </w:tcPr>
          <w:p>
            <w:pPr>
              <w:spacing w:after="0"/>
              <w:rPr>
                <w:sz w:val="15"/>
                <w:szCs w:val="15"/>
                <w:color w:val="auto"/>
              </w:rPr>
            </w:pPr>
          </w:p>
        </w:tc>
        <w:tc>
          <w:tcPr>
            <w:tcW w:w="1840" w:type="dxa"/>
            <w:vAlign w:val="bottom"/>
          </w:tcPr>
          <w:p>
            <w:pPr>
              <w:jc w:val="right"/>
              <w:ind w:right="107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520" w:type="dxa"/>
            <w:vAlign w:val="bottom"/>
            <w:gridSpan w:val="2"/>
          </w:tcPr>
          <w:p>
            <w:pPr>
              <w:jc w:val="right"/>
              <w:ind w:right="75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0"/>
        </w:trPr>
        <w:tc>
          <w:tcPr>
            <w:tcW w:w="5760" w:type="dxa"/>
            <w:vAlign w:val="bottom"/>
            <w:tcBorders>
              <w:top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3"/>
                <w:szCs w:val="13"/>
                <w:color w:val="auto"/>
              </w:rPr>
              <w:t>BP Gas Marketing Limited (“BP”)</w:t>
            </w:r>
          </w:p>
        </w:tc>
        <w:tc>
          <w:tcPr>
            <w:tcW w:w="1220" w:type="dxa"/>
            <w:vAlign w:val="bottom"/>
            <w:tcBorders>
              <w:top w:val="single" w:sz="8" w:color="auto"/>
            </w:tcBorders>
            <w:shd w:val="clear" w:color="auto" w:fill="CCECFF"/>
          </w:tcPr>
          <w:p>
            <w:pPr>
              <w:spacing w:after="0"/>
              <w:rPr>
                <w:sz w:val="13"/>
                <w:szCs w:val="13"/>
                <w:color w:val="auto"/>
              </w:rPr>
            </w:pPr>
          </w:p>
        </w:tc>
        <w:tc>
          <w:tcPr>
            <w:tcW w:w="940" w:type="dxa"/>
            <w:vAlign w:val="bottom"/>
            <w:tcBorders>
              <w:top w:val="single" w:sz="8" w:color="auto"/>
            </w:tcBorders>
            <w:shd w:val="clear" w:color="auto" w:fill="CCECFF"/>
          </w:tcPr>
          <w:p>
            <w:pPr>
              <w:jc w:val="right"/>
              <w:ind w:right="353"/>
              <w:spacing w:after="0"/>
              <w:rPr>
                <w:sz w:val="20"/>
                <w:szCs w:val="20"/>
                <w:color w:val="auto"/>
              </w:rPr>
            </w:pPr>
            <w:r>
              <w:rPr>
                <w:rFonts w:ascii="Times New Roman" w:cs="Times New Roman" w:eastAsia="Times New Roman" w:hAnsi="Times New Roman"/>
                <w:sz w:val="13"/>
                <w:szCs w:val="13"/>
                <w:color w:val="auto"/>
              </w:rPr>
              <w:t>18%</w:t>
            </w:r>
          </w:p>
        </w:tc>
        <w:tc>
          <w:tcPr>
            <w:tcW w:w="1840" w:type="dxa"/>
            <w:vAlign w:val="bottom"/>
            <w:tcBorders>
              <w:top w:val="single" w:sz="8" w:color="auto"/>
            </w:tcBorders>
            <w:shd w:val="clear" w:color="auto" w:fill="CCECFF"/>
          </w:tcPr>
          <w:p>
            <w:pPr>
              <w:jc w:val="right"/>
              <w:ind w:right="373"/>
              <w:spacing w:after="0"/>
              <w:rPr>
                <w:sz w:val="20"/>
                <w:szCs w:val="20"/>
                <w:color w:val="auto"/>
              </w:rPr>
            </w:pPr>
            <w:r>
              <w:rPr>
                <w:rFonts w:ascii="Times New Roman" w:cs="Times New Roman" w:eastAsia="Times New Roman" w:hAnsi="Times New Roman"/>
                <w:sz w:val="13"/>
                <w:szCs w:val="13"/>
                <w:color w:val="auto"/>
              </w:rPr>
              <w:t>23%</w:t>
            </w:r>
          </w:p>
        </w:tc>
        <w:tc>
          <w:tcPr>
            <w:tcW w:w="1520" w:type="dxa"/>
            <w:vAlign w:val="bottom"/>
            <w:tcBorders>
              <w:top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60"/>
        </w:trPr>
        <w:tc>
          <w:tcPr>
            <w:tcW w:w="69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Bonny Gas Transport Limited (“BGT”)</w:t>
            </w:r>
          </w:p>
        </w:tc>
        <w:tc>
          <w:tcPr>
            <w:tcW w:w="9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16%</w:t>
            </w:r>
          </w:p>
        </w:tc>
        <w:tc>
          <w:tcPr>
            <w:tcW w:w="184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&lt; 10%</w:t>
            </w:r>
          </w:p>
        </w:tc>
        <w:tc>
          <w:tcPr>
            <w:tcW w:w="5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6980" w:type="dxa"/>
            <w:vAlign w:val="bottom"/>
            <w:gridSpan w:val="2"/>
            <w:shd w:val="clear" w:color="auto" w:fill="CCECFF"/>
          </w:tcPr>
          <w:p>
            <w:pPr>
              <w:ind w:left="80"/>
              <w:spacing w:after="0"/>
              <w:rPr>
                <w:sz w:val="20"/>
                <w:szCs w:val="20"/>
                <w:color w:val="auto"/>
              </w:rPr>
            </w:pPr>
            <w:r>
              <w:rPr>
                <w:rFonts w:ascii="Times New Roman" w:cs="Times New Roman" w:eastAsia="Times New Roman" w:hAnsi="Times New Roman"/>
                <w:sz w:val="13"/>
                <w:szCs w:val="13"/>
                <w:color w:val="auto"/>
              </w:rPr>
              <w:t>Cheniere Marketing International LLP (“Cheniere”)</w:t>
            </w:r>
          </w:p>
        </w:tc>
        <w:tc>
          <w:tcPr>
            <w:tcW w:w="940" w:type="dxa"/>
            <w:vAlign w:val="bottom"/>
            <w:shd w:val="clear" w:color="auto" w:fill="CCECFF"/>
          </w:tcPr>
          <w:p>
            <w:pPr>
              <w:jc w:val="right"/>
              <w:ind w:right="353"/>
              <w:spacing w:after="0"/>
              <w:rPr>
                <w:sz w:val="20"/>
                <w:szCs w:val="20"/>
                <w:color w:val="auto"/>
              </w:rPr>
            </w:pPr>
            <w:r>
              <w:rPr>
                <w:rFonts w:ascii="Times New Roman" w:cs="Times New Roman" w:eastAsia="Times New Roman" w:hAnsi="Times New Roman"/>
                <w:sz w:val="13"/>
                <w:szCs w:val="13"/>
                <w:color w:val="auto"/>
              </w:rPr>
              <w:t>14%</w:t>
            </w:r>
          </w:p>
        </w:tc>
        <w:tc>
          <w:tcPr>
            <w:tcW w:w="1840" w:type="dxa"/>
            <w:vAlign w:val="bottom"/>
            <w:shd w:val="clear" w:color="auto" w:fill="CCECFF"/>
          </w:tcPr>
          <w:p>
            <w:pPr>
              <w:jc w:val="right"/>
              <w:ind w:right="373"/>
              <w:spacing w:after="0"/>
              <w:rPr>
                <w:sz w:val="20"/>
                <w:szCs w:val="20"/>
                <w:color w:val="auto"/>
              </w:rPr>
            </w:pPr>
            <w:r>
              <w:rPr>
                <w:rFonts w:ascii="Times New Roman" w:cs="Times New Roman" w:eastAsia="Times New Roman" w:hAnsi="Times New Roman"/>
                <w:sz w:val="13"/>
                <w:szCs w:val="13"/>
                <w:color w:val="auto"/>
              </w:rPr>
              <w:t>17%</w:t>
            </w:r>
          </w:p>
        </w:tc>
        <w:tc>
          <w:tcPr>
            <w:tcW w:w="1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60"/>
        </w:trPr>
        <w:tc>
          <w:tcPr>
            <w:tcW w:w="69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Hartree Partners Power &amp; Gas Company (UK) Limited (“Hartree”)</w:t>
            </w:r>
          </w:p>
        </w:tc>
        <w:tc>
          <w:tcPr>
            <w:tcW w:w="9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10%</w:t>
            </w:r>
          </w:p>
        </w:tc>
        <w:tc>
          <w:tcPr>
            <w:tcW w:w="184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12%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60"/>
        </w:trPr>
        <w:tc>
          <w:tcPr>
            <w:tcW w:w="6980" w:type="dxa"/>
            <w:vAlign w:val="bottom"/>
            <w:gridSpan w:val="2"/>
            <w:shd w:val="clear" w:color="auto" w:fill="CCECFF"/>
          </w:tcPr>
          <w:p>
            <w:pPr>
              <w:ind w:left="80"/>
              <w:spacing w:after="0"/>
              <w:rPr>
                <w:sz w:val="20"/>
                <w:szCs w:val="20"/>
                <w:color w:val="auto"/>
              </w:rPr>
            </w:pPr>
            <w:r>
              <w:rPr>
                <w:rFonts w:ascii="Times New Roman" w:cs="Times New Roman" w:eastAsia="Times New Roman" w:hAnsi="Times New Roman"/>
                <w:sz w:val="13"/>
                <w:szCs w:val="13"/>
                <w:color w:val="auto"/>
              </w:rPr>
              <w:t>Engie Energy Marketing Singapore Pte Ltd (“Engie”)</w:t>
            </w:r>
          </w:p>
        </w:tc>
        <w:tc>
          <w:tcPr>
            <w:tcW w:w="940" w:type="dxa"/>
            <w:vAlign w:val="bottom"/>
            <w:shd w:val="clear" w:color="auto" w:fill="CCECFF"/>
          </w:tcPr>
          <w:p>
            <w:pPr>
              <w:jc w:val="right"/>
              <w:ind w:right="353"/>
              <w:spacing w:after="0"/>
              <w:rPr>
                <w:sz w:val="20"/>
                <w:szCs w:val="20"/>
                <w:color w:val="auto"/>
              </w:rPr>
            </w:pPr>
            <w:r>
              <w:rPr>
                <w:rFonts w:ascii="Times New Roman" w:cs="Times New Roman" w:eastAsia="Times New Roman" w:hAnsi="Times New Roman"/>
                <w:sz w:val="13"/>
                <w:szCs w:val="13"/>
                <w:color w:val="auto"/>
              </w:rPr>
              <w:t>&lt; 10%</w:t>
            </w:r>
          </w:p>
        </w:tc>
        <w:tc>
          <w:tcPr>
            <w:tcW w:w="1840" w:type="dxa"/>
            <w:vAlign w:val="bottom"/>
            <w:shd w:val="clear" w:color="auto" w:fill="CCECFF"/>
          </w:tcPr>
          <w:p>
            <w:pPr>
              <w:jc w:val="right"/>
              <w:ind w:right="373"/>
              <w:spacing w:after="0"/>
              <w:rPr>
                <w:sz w:val="20"/>
                <w:szCs w:val="20"/>
                <w:color w:val="auto"/>
              </w:rPr>
            </w:pPr>
            <w:r>
              <w:rPr>
                <w:rFonts w:ascii="Times New Roman" w:cs="Times New Roman" w:eastAsia="Times New Roman" w:hAnsi="Times New Roman"/>
                <w:sz w:val="13"/>
                <w:szCs w:val="13"/>
                <w:color w:val="auto"/>
              </w:rPr>
              <w:t>&lt; 10%</w:t>
            </w:r>
          </w:p>
        </w:tc>
        <w:tc>
          <w:tcPr>
            <w:tcW w:w="1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73"/>
        </w:trPr>
        <w:tc>
          <w:tcPr>
            <w:tcW w:w="69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Qatar Energy Trading LLC (“Qatar Energy”)</w:t>
            </w:r>
          </w:p>
        </w:tc>
        <w:tc>
          <w:tcPr>
            <w:tcW w:w="94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rPr>
              <w:t>10%</w:t>
            </w:r>
          </w:p>
        </w:tc>
        <w:tc>
          <w:tcPr>
            <w:tcW w:w="1840" w:type="dxa"/>
            <w:vAlign w:val="bottom"/>
          </w:tcPr>
          <w:p>
            <w:pPr>
              <w:jc w:val="right"/>
              <w:ind w:right="373"/>
              <w:spacing w:after="0"/>
              <w:rPr>
                <w:sz w:val="20"/>
                <w:szCs w:val="20"/>
                <w:color w:val="auto"/>
              </w:rPr>
            </w:pPr>
            <w:r>
              <w:rPr>
                <w:rFonts w:ascii="Times New Roman" w:cs="Times New Roman" w:eastAsia="Times New Roman" w:hAnsi="Times New Roman"/>
                <w:sz w:val="13"/>
                <w:szCs w:val="13"/>
                <w:color w:val="auto"/>
              </w:rPr>
              <w:t>12%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&lt; 10%</w:t>
            </w:r>
          </w:p>
        </w:tc>
      </w:tr>
      <w:tr>
        <w:trPr>
          <w:trHeight w:val="356"/>
        </w:trPr>
        <w:tc>
          <w:tcPr>
            <w:tcW w:w="6980" w:type="dxa"/>
            <w:vAlign w:val="bottom"/>
            <w:gridSpan w:val="2"/>
          </w:tcPr>
          <w:p>
            <w:pPr>
              <w:ind w:left="5520"/>
              <w:spacing w:after="0"/>
              <w:rPr>
                <w:sz w:val="20"/>
                <w:szCs w:val="20"/>
                <w:color w:val="auto"/>
              </w:rPr>
            </w:pPr>
            <w:r>
              <w:rPr>
                <w:rFonts w:ascii="Times New Roman" w:cs="Times New Roman" w:eastAsia="Times New Roman" w:hAnsi="Times New Roman"/>
                <w:sz w:val="13"/>
                <w:szCs w:val="13"/>
                <w:color w:val="auto"/>
              </w:rPr>
              <w:t>F- 27</w:t>
            </w:r>
          </w:p>
        </w:tc>
        <w:tc>
          <w:tcPr>
            <w:tcW w:w="9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3"/>
                <w:szCs w:val="13"/>
                <w:color w:val="0000EE"/>
                <w:w w:val="98"/>
              </w:rPr>
              <w:t>Table of Contents</w:t>
            </w: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80"/>
          </w:cols>
          <w:pgMar w:left="300" w:top="205" w:right="31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3"/>
          <w:szCs w:val="13"/>
          <w:b w:val="1"/>
          <w:bCs w:val="1"/>
          <w:color w:val="auto"/>
        </w:rPr>
        <w:t>Capital Clean Energy Carriers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United States Dollars, unless otherwise specified)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11. Accrued Liabilities</w:t>
            </w: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60"/>
        </w:trPr>
        <w:tc>
          <w:tcPr>
            <w:tcW w:w="7340" w:type="dxa"/>
            <w:vAlign w:val="bottom"/>
          </w:tcPr>
          <w:p>
            <w:pPr>
              <w:spacing w:after="0"/>
              <w:rPr>
                <w:sz w:val="20"/>
                <w:szCs w:val="20"/>
                <w:color w:val="auto"/>
              </w:rPr>
            </w:pPr>
            <w:r>
              <w:rPr>
                <w:rFonts w:ascii="Times New Roman" w:cs="Times New Roman" w:eastAsia="Times New Roman" w:hAnsi="Times New Roman"/>
                <w:sz w:val="13"/>
                <w:szCs w:val="13"/>
                <w:color w:val="auto"/>
              </w:rPr>
              <w:t>Accrued liabilities consist of the following:</w:t>
            </w: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319"/>
        </w:trPr>
        <w:tc>
          <w:tcPr>
            <w:tcW w:w="7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720" w:type="dxa"/>
            <w:vAlign w:val="bottom"/>
            <w:tcBorders>
              <w:bottom w:val="single" w:sz="8" w:color="auto"/>
            </w:tcBorders>
          </w:tcPr>
          <w:p>
            <w:pPr>
              <w:spacing w:after="0"/>
              <w:rPr>
                <w:sz w:val="24"/>
                <w:szCs w:val="24"/>
                <w:color w:val="auto"/>
              </w:rPr>
            </w:pPr>
          </w:p>
        </w:tc>
      </w:tr>
      <w:tr>
        <w:trPr>
          <w:trHeight w:val="150"/>
        </w:trPr>
        <w:tc>
          <w:tcPr>
            <w:tcW w:w="7340" w:type="dxa"/>
            <w:vAlign w:val="bottom"/>
            <w:tcBorders>
              <w:bottom w:val="single" w:sz="8" w:color="CCECFF"/>
            </w:tcBorders>
          </w:tcPr>
          <w:p>
            <w:pPr>
              <w:spacing w:after="0"/>
              <w:rPr>
                <w:sz w:val="13"/>
                <w:szCs w:val="13"/>
                <w:color w:val="auto"/>
              </w:rPr>
            </w:pPr>
          </w:p>
        </w:tc>
        <w:tc>
          <w:tcPr>
            <w:tcW w:w="840" w:type="dxa"/>
            <w:vAlign w:val="bottom"/>
            <w:tcBorders>
              <w:bottom w:val="single" w:sz="8" w:color="CCECFF"/>
            </w:tcBorders>
          </w:tcPr>
          <w:p>
            <w:pPr>
              <w:spacing w:after="0"/>
              <w:rPr>
                <w:sz w:val="13"/>
                <w:szCs w:val="13"/>
                <w:color w:val="auto"/>
              </w:rPr>
            </w:pPr>
          </w:p>
        </w:tc>
        <w:tc>
          <w:tcPr>
            <w:tcW w:w="42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Borders>
              <w:bottom w:val="single" w:sz="8" w:color="CCEC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0"/>
        </w:trPr>
        <w:tc>
          <w:tcPr>
            <w:tcW w:w="73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Accrued loan interest and loan fees</w:t>
            </w:r>
          </w:p>
        </w:tc>
        <w:tc>
          <w:tcPr>
            <w:tcW w:w="840" w:type="dxa"/>
            <w:vAlign w:val="bottom"/>
            <w:shd w:val="clear" w:color="auto" w:fill="CCECFF"/>
          </w:tcPr>
          <w:p>
            <w:pPr>
              <w:spacing w:after="0"/>
              <w:rPr>
                <w:sz w:val="13"/>
                <w:szCs w:val="13"/>
                <w:color w:val="auto"/>
              </w:rPr>
            </w:pPr>
          </w:p>
        </w:tc>
        <w:tc>
          <w:tcPr>
            <w:tcW w:w="4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0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17,816</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ind w:right="3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16,768</w:t>
            </w:r>
          </w:p>
        </w:tc>
      </w:tr>
      <w:tr>
        <w:trPr>
          <w:trHeight w:val="160"/>
        </w:trPr>
        <w:tc>
          <w:tcPr>
            <w:tcW w:w="7340" w:type="dxa"/>
            <w:vAlign w:val="bottom"/>
          </w:tcPr>
          <w:p>
            <w:pPr>
              <w:spacing w:after="0"/>
              <w:rPr>
                <w:sz w:val="20"/>
                <w:szCs w:val="20"/>
                <w:color w:val="auto"/>
              </w:rPr>
            </w:pPr>
            <w:r>
              <w:rPr>
                <w:rFonts w:ascii="Times New Roman" w:cs="Times New Roman" w:eastAsia="Times New Roman" w:hAnsi="Times New Roman"/>
                <w:sz w:val="13"/>
                <w:szCs w:val="13"/>
                <w:color w:val="auto"/>
              </w:rPr>
              <w:t>Accrued operating expenses</w:t>
            </w: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8,661</w:t>
            </w:r>
          </w:p>
        </w:tc>
        <w:tc>
          <w:tcPr>
            <w:tcW w:w="5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7,238</w:t>
            </w:r>
          </w:p>
        </w:tc>
      </w:tr>
      <w:tr>
        <w:trPr>
          <w:trHeight w:val="160"/>
        </w:trPr>
        <w:tc>
          <w:tcPr>
            <w:tcW w:w="73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Accrued capitalized expenses</w:t>
            </w:r>
          </w:p>
        </w:tc>
        <w:tc>
          <w:tcPr>
            <w:tcW w:w="840" w:type="dxa"/>
            <w:vAlign w:val="bottom"/>
            <w:shd w:val="clear" w:color="auto" w:fill="CCECFF"/>
          </w:tcPr>
          <w:p>
            <w:pPr>
              <w:spacing w:after="0"/>
              <w:rPr>
                <w:sz w:val="13"/>
                <w:szCs w:val="13"/>
                <w:color w:val="auto"/>
              </w:rPr>
            </w:pPr>
          </w:p>
        </w:tc>
        <w:tc>
          <w:tcPr>
            <w:tcW w:w="4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101</w:t>
            </w:r>
          </w:p>
        </w:tc>
        <w:tc>
          <w:tcPr>
            <w:tcW w:w="50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101</w:t>
            </w:r>
          </w:p>
        </w:tc>
      </w:tr>
      <w:tr>
        <w:trPr>
          <w:trHeight w:val="160"/>
        </w:trPr>
        <w:tc>
          <w:tcPr>
            <w:tcW w:w="7340" w:type="dxa"/>
            <w:vAlign w:val="bottom"/>
          </w:tcPr>
          <w:p>
            <w:pPr>
              <w:spacing w:after="0"/>
              <w:rPr>
                <w:sz w:val="20"/>
                <w:szCs w:val="20"/>
                <w:color w:val="auto"/>
              </w:rPr>
            </w:pPr>
            <w:r>
              <w:rPr>
                <w:rFonts w:ascii="Times New Roman" w:cs="Times New Roman" w:eastAsia="Times New Roman" w:hAnsi="Times New Roman"/>
                <w:sz w:val="13"/>
                <w:szCs w:val="13"/>
                <w:color w:val="auto"/>
              </w:rPr>
              <w:t>Accrued voyage expenses and commissions</w:t>
            </w: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9,927</w:t>
            </w:r>
          </w:p>
        </w:tc>
        <w:tc>
          <w:tcPr>
            <w:tcW w:w="5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5,305</w:t>
            </w:r>
          </w:p>
        </w:tc>
      </w:tr>
      <w:tr>
        <w:trPr>
          <w:trHeight w:val="160"/>
        </w:trPr>
        <w:tc>
          <w:tcPr>
            <w:tcW w:w="73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Accrued general and administrative expenses</w:t>
            </w:r>
          </w:p>
        </w:tc>
        <w:tc>
          <w:tcPr>
            <w:tcW w:w="840" w:type="dxa"/>
            <w:vAlign w:val="bottom"/>
            <w:shd w:val="clear" w:color="auto" w:fill="CCECFF"/>
          </w:tcPr>
          <w:p>
            <w:pPr>
              <w:spacing w:after="0"/>
              <w:rPr>
                <w:sz w:val="13"/>
                <w:szCs w:val="13"/>
                <w:color w:val="auto"/>
              </w:rPr>
            </w:pPr>
          </w:p>
        </w:tc>
        <w:tc>
          <w:tcPr>
            <w:tcW w:w="4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1,212</w:t>
            </w:r>
          </w:p>
        </w:tc>
        <w:tc>
          <w:tcPr>
            <w:tcW w:w="50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1,748</w:t>
            </w:r>
          </w:p>
        </w:tc>
      </w:tr>
      <w:tr>
        <w:trPr>
          <w:trHeight w:val="150"/>
        </w:trPr>
        <w:tc>
          <w:tcPr>
            <w:tcW w:w="73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37,717</w:t>
            </w:r>
          </w:p>
        </w:tc>
        <w:tc>
          <w:tcPr>
            <w:tcW w:w="12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ind w:right="3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31,160</w:t>
            </w:r>
          </w:p>
        </w:tc>
      </w:tr>
      <w:tr>
        <w:trPr>
          <w:trHeight w:val="799"/>
        </w:trPr>
        <w:tc>
          <w:tcPr>
            <w:tcW w:w="73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12. Voyage Expenses, Net and Vessel Operating Expenses</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19"/>
        </w:trPr>
        <w:tc>
          <w:tcPr>
            <w:tcW w:w="7340" w:type="dxa"/>
            <w:vAlign w:val="bottom"/>
          </w:tcPr>
          <w:p>
            <w:pPr>
              <w:spacing w:after="0"/>
              <w:rPr>
                <w:sz w:val="20"/>
                <w:szCs w:val="20"/>
                <w:color w:val="auto"/>
              </w:rPr>
            </w:pPr>
            <w:r>
              <w:rPr>
                <w:rFonts w:ascii="Times New Roman" w:cs="Times New Roman" w:eastAsia="Times New Roman" w:hAnsi="Times New Roman"/>
                <w:sz w:val="13"/>
                <w:szCs w:val="13"/>
                <w:color w:val="auto"/>
              </w:rPr>
              <w:t>Voyage expenses and vessel operating expenses consist of the following:</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05"/>
        </w:trPr>
        <w:tc>
          <w:tcPr>
            <w:tcW w:w="7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80" w:type="dxa"/>
            <w:vAlign w:val="bottom"/>
            <w:gridSpan w:val="7"/>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720" w:type="dxa"/>
            <w:vAlign w:val="bottom"/>
          </w:tcPr>
          <w:p>
            <w:pPr>
              <w:spacing w:after="0"/>
              <w:rPr>
                <w:sz w:val="24"/>
                <w:szCs w:val="24"/>
                <w:color w:val="auto"/>
              </w:rPr>
            </w:pPr>
          </w:p>
        </w:tc>
      </w:tr>
      <w:tr>
        <w:trPr>
          <w:trHeight w:val="174"/>
        </w:trPr>
        <w:tc>
          <w:tcPr>
            <w:tcW w:w="73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Voyage expenses:</w:t>
            </w:r>
          </w:p>
        </w:tc>
        <w:tc>
          <w:tcPr>
            <w:tcW w:w="8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60"/>
        </w:trPr>
        <w:tc>
          <w:tcPr>
            <w:tcW w:w="7340" w:type="dxa"/>
            <w:vAlign w:val="bottom"/>
          </w:tcPr>
          <w:p>
            <w:pPr>
              <w:spacing w:after="0"/>
              <w:rPr>
                <w:sz w:val="20"/>
                <w:szCs w:val="20"/>
                <w:color w:val="auto"/>
              </w:rPr>
            </w:pPr>
            <w:r>
              <w:rPr>
                <w:rFonts w:ascii="Times New Roman" w:cs="Times New Roman" w:eastAsia="Times New Roman" w:hAnsi="Times New Roman"/>
                <w:sz w:val="13"/>
                <w:szCs w:val="13"/>
                <w:color w:val="auto"/>
              </w:rPr>
              <w:t>Commissions</w:t>
            </w:r>
          </w:p>
        </w:tc>
        <w:tc>
          <w:tcPr>
            <w:tcW w:w="840" w:type="dxa"/>
            <w:vAlign w:val="bottom"/>
          </w:tcPr>
          <w:p>
            <w:pPr>
              <w:jc w:val="right"/>
              <w:ind w:right="693"/>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7,784</w:t>
            </w: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6,565</w:t>
            </w:r>
          </w:p>
        </w:tc>
        <w:tc>
          <w:tcPr>
            <w:tcW w:w="500" w:type="dxa"/>
            <w:vAlign w:val="bottom"/>
          </w:tcPr>
          <w:p>
            <w:pPr>
              <w:jc w:val="right"/>
              <w:ind w:right="3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3,643</w:t>
            </w: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Bunkers</w:t>
            </w:r>
          </w:p>
        </w:tc>
        <w:tc>
          <w:tcPr>
            <w:tcW w:w="8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(1,069)</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715</w:t>
            </w:r>
          </w:p>
        </w:tc>
        <w:tc>
          <w:tcPr>
            <w:tcW w:w="5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5,320</w:t>
            </w:r>
          </w:p>
        </w:tc>
      </w:tr>
      <w:tr>
        <w:trPr>
          <w:trHeight w:val="160"/>
        </w:trPr>
        <w:tc>
          <w:tcPr>
            <w:tcW w:w="7340" w:type="dxa"/>
            <w:vAlign w:val="bottom"/>
          </w:tcPr>
          <w:p>
            <w:pPr>
              <w:spacing w:after="0"/>
              <w:rPr>
                <w:sz w:val="20"/>
                <w:szCs w:val="20"/>
                <w:color w:val="auto"/>
              </w:rPr>
            </w:pPr>
            <w:r>
              <w:rPr>
                <w:rFonts w:ascii="Times New Roman" w:cs="Times New Roman" w:eastAsia="Times New Roman" w:hAnsi="Times New Roman"/>
                <w:sz w:val="13"/>
                <w:szCs w:val="13"/>
                <w:color w:val="auto"/>
              </w:rPr>
              <w:t>Port expenses</w:t>
            </w:r>
          </w:p>
        </w:tc>
        <w:tc>
          <w:tcPr>
            <w:tcW w:w="84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74</w:t>
            </w:r>
          </w:p>
        </w:tc>
        <w:tc>
          <w:tcPr>
            <w:tcW w:w="5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2,246</w:t>
            </w: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8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1,018</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2,479</w:t>
            </w:r>
          </w:p>
        </w:tc>
        <w:tc>
          <w:tcPr>
            <w:tcW w:w="5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w:t>
            </w:r>
          </w:p>
        </w:tc>
      </w:tr>
      <w:tr>
        <w:trPr>
          <w:trHeight w:val="150"/>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40" w:type="dxa"/>
            <w:vAlign w:val="bottom"/>
            <w:tcBorders>
              <w:top w:val="single" w:sz="8" w:color="auto"/>
              <w:bottom w:val="single" w:sz="8" w:color="auto"/>
            </w:tcBorders>
          </w:tcPr>
          <w:p>
            <w:pPr>
              <w:jc w:val="right"/>
              <w:ind w:right="6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7,733</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9,833</w:t>
            </w:r>
          </w:p>
        </w:tc>
        <w:tc>
          <w:tcPr>
            <w:tcW w:w="12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3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11,619</w:t>
            </w: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Vessel operating expenses:</w:t>
            </w:r>
          </w:p>
        </w:tc>
        <w:tc>
          <w:tcPr>
            <w:tcW w:w="8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60"/>
        </w:trPr>
        <w:tc>
          <w:tcPr>
            <w:tcW w:w="7340" w:type="dxa"/>
            <w:vAlign w:val="bottom"/>
          </w:tcPr>
          <w:p>
            <w:pPr>
              <w:spacing w:after="0"/>
              <w:rPr>
                <w:sz w:val="20"/>
                <w:szCs w:val="20"/>
                <w:color w:val="auto"/>
              </w:rPr>
            </w:pPr>
            <w:r>
              <w:rPr>
                <w:rFonts w:ascii="Times New Roman" w:cs="Times New Roman" w:eastAsia="Times New Roman" w:hAnsi="Times New Roman"/>
                <w:sz w:val="13"/>
                <w:szCs w:val="13"/>
                <w:color w:val="auto"/>
              </w:rPr>
              <w:t>Crew costs and related costs</w:t>
            </w:r>
          </w:p>
        </w:tc>
        <w:tc>
          <w:tcPr>
            <w:tcW w:w="840" w:type="dxa"/>
            <w:vAlign w:val="bottom"/>
          </w:tcPr>
          <w:p>
            <w:pPr>
              <w:jc w:val="right"/>
              <w:ind w:right="693"/>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30,487</w:t>
            </w: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29,730</w:t>
            </w:r>
          </w:p>
        </w:tc>
        <w:tc>
          <w:tcPr>
            <w:tcW w:w="500" w:type="dxa"/>
            <w:vAlign w:val="bottom"/>
          </w:tcPr>
          <w:p>
            <w:pPr>
              <w:jc w:val="right"/>
              <w:ind w:right="3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22,324</w:t>
            </w: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Insurance expense</w:t>
            </w:r>
          </w:p>
        </w:tc>
        <w:tc>
          <w:tcPr>
            <w:tcW w:w="8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4,430</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4,706</w:t>
            </w:r>
          </w:p>
        </w:tc>
        <w:tc>
          <w:tcPr>
            <w:tcW w:w="5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3,260</w:t>
            </w:r>
          </w:p>
        </w:tc>
      </w:tr>
      <w:tr>
        <w:trPr>
          <w:trHeight w:val="160"/>
        </w:trPr>
        <w:tc>
          <w:tcPr>
            <w:tcW w:w="7340" w:type="dxa"/>
            <w:vAlign w:val="bottom"/>
          </w:tcPr>
          <w:p>
            <w:pPr>
              <w:spacing w:after="0"/>
              <w:rPr>
                <w:sz w:val="20"/>
                <w:szCs w:val="20"/>
                <w:color w:val="auto"/>
              </w:rPr>
            </w:pPr>
            <w:r>
              <w:rPr>
                <w:rFonts w:ascii="Times New Roman" w:cs="Times New Roman" w:eastAsia="Times New Roman" w:hAnsi="Times New Roman"/>
                <w:sz w:val="13"/>
                <w:szCs w:val="13"/>
                <w:color w:val="auto"/>
              </w:rPr>
              <w:t>Spares, repairs, maintenance and other expenses</w:t>
            </w:r>
          </w:p>
        </w:tc>
        <w:tc>
          <w:tcPr>
            <w:tcW w:w="84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15,135</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7,379</w:t>
            </w:r>
          </w:p>
        </w:tc>
        <w:tc>
          <w:tcPr>
            <w:tcW w:w="5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5,274</w:t>
            </w: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Stores and lubricants</w:t>
            </w:r>
          </w:p>
        </w:tc>
        <w:tc>
          <w:tcPr>
            <w:tcW w:w="8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5,687</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5,366</w:t>
            </w:r>
          </w:p>
        </w:tc>
        <w:tc>
          <w:tcPr>
            <w:tcW w:w="5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4,365</w:t>
            </w:r>
          </w:p>
        </w:tc>
      </w:tr>
      <w:tr>
        <w:trPr>
          <w:trHeight w:val="160"/>
        </w:trPr>
        <w:tc>
          <w:tcPr>
            <w:tcW w:w="7340" w:type="dxa"/>
            <w:vAlign w:val="bottom"/>
          </w:tcPr>
          <w:p>
            <w:pPr>
              <w:spacing w:after="0"/>
              <w:rPr>
                <w:sz w:val="20"/>
                <w:szCs w:val="20"/>
                <w:color w:val="auto"/>
              </w:rPr>
            </w:pPr>
            <w:r>
              <w:rPr>
                <w:rFonts w:ascii="Times New Roman" w:cs="Times New Roman" w:eastAsia="Times New Roman" w:hAnsi="Times New Roman"/>
                <w:sz w:val="13"/>
                <w:szCs w:val="13"/>
                <w:color w:val="auto"/>
              </w:rPr>
              <w:t>Management fees (Note 5)</w:t>
            </w:r>
          </w:p>
        </w:tc>
        <w:tc>
          <w:tcPr>
            <w:tcW w:w="84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9,144</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8,722</w:t>
            </w:r>
          </w:p>
        </w:tc>
        <w:tc>
          <w:tcPr>
            <w:tcW w:w="5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6,165</w:t>
            </w: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operating expenses</w:t>
            </w:r>
          </w:p>
        </w:tc>
        <w:tc>
          <w:tcPr>
            <w:tcW w:w="8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3,344</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2,989</w:t>
            </w:r>
          </w:p>
        </w:tc>
        <w:tc>
          <w:tcPr>
            <w:tcW w:w="5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2,705</w:t>
            </w:r>
          </w:p>
        </w:tc>
      </w:tr>
      <w:tr>
        <w:trPr>
          <w:trHeight w:val="150"/>
        </w:trPr>
        <w:tc>
          <w:tcPr>
            <w:tcW w:w="73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40" w:type="dxa"/>
            <w:vAlign w:val="bottom"/>
            <w:tcBorders>
              <w:top w:val="single" w:sz="8" w:color="auto"/>
              <w:bottom w:val="single" w:sz="8" w:color="auto"/>
            </w:tcBorders>
          </w:tcPr>
          <w:p>
            <w:pPr>
              <w:jc w:val="right"/>
              <w:ind w:right="6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68,227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58,892</w:t>
            </w:r>
          </w:p>
        </w:tc>
        <w:tc>
          <w:tcPr>
            <w:tcW w:w="12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ind w:right="3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44,093</w:t>
            </w: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13. Income taxes</w:t>
      </w:r>
    </w:p>
    <w:p>
      <w:pPr>
        <w:spacing w:after="0" w:line="1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Under the laws of the Marshall Islands and Liberia, the countries in which the vessel-owning subsidiaries were incorporated, these companies are not subject to tax on international shipping income. However, they are subject to registration and tonnage taxes in the country in which the vessels are registered and managed from, and such taxes have been included in “Vessel operating expenses” in the consolidated statements of comprehensive income.</w:t>
      </w:r>
    </w:p>
    <w:p>
      <w:pPr>
        <w:spacing w:after="0" w:line="1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3"/>
          <w:szCs w:val="13"/>
          <w:color w:val="auto"/>
        </w:rPr>
        <w:t>Pursuant to Section 883 of the United States Internal Revenue Code (the “Code”) and the regulations thereunder, a foreign corporation engaged in the international operation of ships is generally exempt from U.S. federal income tax on its U.S.-source shipping income if the foreign corporation meets both of the following requirements: (a) the foreign corporation is organized in a foreign country that grants an “equivalent exemption” to corporations organized in the United States for the types of shipping income (e.g., voyage and time charter) earned by the foreign corporation and (b) more than 50% of the voting power and value of the foreign corporation’s stock is “primarily and regularly traded on an established securities market” in the United States and certain other requirements are satisfied (the “Publicly-Traded Test”). Each of the jurisdictions where the Company’s vessel-owning subsidiaries are incorporated grants an “equivalent exemption” to United States corporations with respect to each type of shipping income earned by the Company’s vessel-owning subsidiaries. Additionally, the Company’s shares are only traded on the Nasdaq Global Market, which is considered to be an established securities market. The Company has satisfied the Publicly-Traded Test for the years ended December 31, 2025, 2024 and 2023 and the vessel-owning subsidiaries are exempt from United States federal income taxation with respect to U.S.-source shipping income.</w:t>
      </w:r>
    </w:p>
    <w:p>
      <w:pPr>
        <w:spacing w:after="0" w:line="29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CPLP PLC is incorporated in Cyprus and does not conduct any substantive operations of its own. No provision for Cyprus income tax has been made in the financial statements as CPLP PLC had no assessable income for the years ended December 31, 2025, 2024 and 2023.</w:t>
      </w:r>
    </w:p>
    <w:p>
      <w:pPr>
        <w:spacing w:after="0" w:line="64" w:lineRule="exact"/>
        <w:rPr>
          <w:sz w:val="20"/>
          <w:szCs w:val="20"/>
          <w:color w:val="auto"/>
        </w:rPr>
      </w:pPr>
    </w:p>
    <w:p>
      <w:pPr>
        <w:jc w:val="right"/>
        <w:spacing w:after="0"/>
        <w:tabs>
          <w:tab w:leader="none" w:pos="920" w:val="left"/>
        </w:tabs>
        <w:rPr>
          <w:sz w:val="20"/>
          <w:szCs w:val="20"/>
          <w:color w:val="auto"/>
        </w:rPr>
      </w:pPr>
      <w:r>
        <w:rPr>
          <w:rFonts w:ascii="Times New Roman" w:cs="Times New Roman" w:eastAsia="Times New Roman" w:hAnsi="Times New Roman"/>
          <w:sz w:val="13"/>
          <w:szCs w:val="13"/>
          <w:color w:val="auto"/>
        </w:rPr>
        <w:t>F- 28</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3"/>
          <w:szCs w:val="13"/>
          <w:b w:val="1"/>
          <w:bCs w:val="1"/>
          <w:color w:val="auto"/>
        </w:rPr>
        <w:t>Capital Clean Energy Carriers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United States Dollars, unless otherwise specified)</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14. Shareholders’ Equity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Dividend Reinvestment Plan (the “DRIP”)</w:t>
      </w:r>
    </w:p>
    <w:p>
      <w:pPr>
        <w:spacing w:after="0" w:line="17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On June 10, 2025, the Company announced that it has implemented the DRIP. During the year ended December 31, 2025, the Company issued 404,975 and 356,099 common shares under the DRIP at the price of $20.50 and $22.85 per share, respectively, net of issuance costs. During the year ended December 31, 2025, the Company recognized deferred expenses of $219 relating to the DRIP.</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Open market sales agreement (the “Sales Agreement”)</w:t>
      </w:r>
    </w:p>
    <w:p>
      <w:pPr>
        <w:spacing w:after="0" w:line="17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3"/>
          <w:szCs w:val="13"/>
          <w:color w:val="auto"/>
        </w:rPr>
        <w:t>On January 27, 2025, the Company entered into the “Sales Agreement” with Jefferies LLC (“Jefferies”) under which the Company may sell, from time to time, through Jefferies, as its sales agent, new common shares having an aggregate offering amount of up to $75,000. The open-market sale agreement provides that Jefferies, when it is acting as the Company’s sales agent, will be entitled to compensation of up to 2.5% of the gross sales price of the common shares sold through Jefferies from time to time. During the year ended December 31, 2025, the Company issued 9,466 new common shares resulting in net proceeds of $207 after the payment of commission to the sales agent, but before offering expenses. During the year ended December 31, 2025, the Company recognized deferred offering expenses of $497 in connection with the Sales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Transformative Transaction for the Acquisition of 11 Newbuild LNG/Cs</w:t>
      </w:r>
    </w:p>
    <w:p>
      <w:pPr>
        <w:spacing w:after="0" w:line="17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3"/>
          <w:szCs w:val="13"/>
          <w:color w:val="auto"/>
        </w:rPr>
        <w:t>On August 26, 2024, the Company converted from a Marshall Islands limited partnership to a Marshall Islands corporation (Note 1). Upon the Conversion each common unit issued and outstanding immediately prior to the Effective Date was converted into one common share, par value $0.01 per share, of the Company and the 348,570 general partner units and all of the incentive distribution rights, in each case outstanding immediately prior to the Effective Date, were exchanged with an aggregate of 3,500,000 common shares. The amount of $46,184, being the difference between the fair value of the 3,500,000 common shares of $59,430, at the price of $16.98 per common share as quoted on the Nasdaq Stock Exchange on August 25, 2024, and the book value of the 348,570 general partner units of $13,246 as of August 25, 2024, is presented as deemed dividend to CGP in the Company’s consolidated statements of changes in shareholders’ equity.</w:t>
      </w:r>
    </w:p>
    <w:p>
      <w:pPr>
        <w:spacing w:after="0" w:line="1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Pursuant to the Umbrella Agreement (Note 5), the Company conducted a Rights Offering for up to $500,000 with the purpose of partially financing the acquisition of the shares of the vessel-owning companies of 11 new LNG/C vessels. The Rights Offering resulted in subscriptions for 445,988 common shares representing limited partnership interests in the Company offered at an exercise price of $14.25 per common share amounting to $6,355. CMTC purchased 34,641,731 common shares that were not issued pursuant to the Rights Offering for an aggregate amount of $493,645 pursuant to the Standby Purchase Agreement. As of December 31, 2023, the Company recognized the amount of $1,313 representing part of the transaction expenses as a reduction to Partners’ Capital.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Repurchase Plan</w:t>
      </w:r>
    </w:p>
    <w:p>
      <w:pPr>
        <w:spacing w:after="0" w:line="17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3"/>
          <w:szCs w:val="13"/>
          <w:color w:val="auto"/>
        </w:rPr>
        <w:t>On January 26, 2023, the Company’s Board of Directors authorized a new share repurchase plan, replacing the earlier plan (the “Repurchase Plan”). Pursuant to the Repurchase Plan, the Company may purchase up to $30,000 of its common shares through January 2025, at times and prices that are considered to be appropriate. The Company could repurchase shares under the Repurchase Plan in the open market or in privately negotiated transactions but is not obligated under the terms of the Repurchase Plan to repurchase any shares, and, at any time, may suspend, delay or discontinue the Repurchase Plan. During the year ended December 31, 2023, the Company completed the repurchase of 304,283 shares, paying an average price per share of $13.48 plus repurchasing expenses. These shares were held as treasury shares and were recorded as a reduction in the Company’s Partners’ Capital. No shares were repurchased during the years ended December 31, 2025 and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Compensation Plan (the “Plan”)</w:t>
      </w:r>
    </w:p>
    <w:p>
      <w:pPr>
        <w:spacing w:after="0" w:line="17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In January 2024, the board of directors adopted an amended and restated Compensation Plan (the “Plan”) and reserved for issuance a maximum number of 3,300,000 restricted common shares. On January 25, 2024, 1,100,000 common units of the 3,300,000 restricted common units were issued and recognized under treasury shares. In connection with the Conversion, on the Effective Date, the board of directors of the Company adopted an amendment and restatement of the Plan to reflect the effects of the Conversion and all the treasury units were converted into treasury shares (Note 15).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December 31, 2025 and 2024, the Company’s capital structure was comprised of the following shares: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48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360" w:type="dxa"/>
            <w:vAlign w:val="bottom"/>
            <w:gridSpan w:val="4"/>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As of December 31,</w:t>
            </w:r>
          </w:p>
        </w:tc>
      </w:tr>
      <w:tr>
        <w:trPr>
          <w:trHeight w:val="174"/>
        </w:trPr>
        <w:tc>
          <w:tcPr>
            <w:tcW w:w="3480" w:type="dxa"/>
            <w:vAlign w:val="bottom"/>
          </w:tcPr>
          <w:p>
            <w:pPr>
              <w:spacing w:after="0"/>
              <w:rPr>
                <w:sz w:val="15"/>
                <w:szCs w:val="15"/>
                <w:color w:val="auto"/>
              </w:rPr>
            </w:pPr>
          </w:p>
        </w:tc>
        <w:tc>
          <w:tcPr>
            <w:tcW w:w="6580" w:type="dxa"/>
            <w:vAlign w:val="bottom"/>
            <w:gridSpan w:val="2"/>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1120" w:type="dxa"/>
            <w:vAlign w:val="bottom"/>
            <w:gridSpan w:val="2"/>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0"/>
        </w:trPr>
        <w:tc>
          <w:tcPr>
            <w:tcW w:w="3480" w:type="dxa"/>
            <w:vAlign w:val="bottom"/>
            <w:tcBorders>
              <w:top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3"/>
                <w:szCs w:val="13"/>
                <w:color w:val="auto"/>
              </w:rPr>
              <w:t>Common shares</w:t>
            </w:r>
          </w:p>
        </w:tc>
        <w:tc>
          <w:tcPr>
            <w:tcW w:w="5440" w:type="dxa"/>
            <w:vAlign w:val="bottom"/>
            <w:tcBorders>
              <w:top w:val="single" w:sz="8" w:color="CCECFF"/>
            </w:tcBorders>
            <w:shd w:val="clear" w:color="auto" w:fill="CCECFF"/>
          </w:tcPr>
          <w:p>
            <w:pPr>
              <w:spacing w:after="0"/>
              <w:rPr>
                <w:sz w:val="13"/>
                <w:szCs w:val="13"/>
                <w:color w:val="auto"/>
              </w:rPr>
            </w:pPr>
          </w:p>
        </w:tc>
        <w:tc>
          <w:tcPr>
            <w:tcW w:w="1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59,487,853</w:t>
            </w:r>
          </w:p>
        </w:tc>
        <w:tc>
          <w:tcPr>
            <w:tcW w:w="100" w:type="dxa"/>
            <w:vAlign w:val="bottom"/>
            <w:tcBorders>
              <w:top w:val="single" w:sz="8" w:color="CCECFF"/>
            </w:tcBorders>
            <w:shd w:val="clear" w:color="auto" w:fill="CCECFF"/>
          </w:tcPr>
          <w:p>
            <w:pPr>
              <w:spacing w:after="0"/>
              <w:rPr>
                <w:sz w:val="13"/>
                <w:szCs w:val="13"/>
                <w:color w:val="auto"/>
              </w:rPr>
            </w:pPr>
          </w:p>
        </w:tc>
        <w:tc>
          <w:tcPr>
            <w:tcW w:w="1120" w:type="dxa"/>
            <w:vAlign w:val="bottom"/>
            <w:tcBorders>
              <w:top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58,387,313</w:t>
            </w:r>
          </w:p>
        </w:tc>
      </w:tr>
      <w:tr>
        <w:trPr>
          <w:trHeight w:val="160"/>
        </w:trPr>
        <w:tc>
          <w:tcPr>
            <w:tcW w:w="3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Treasury shares</w:t>
            </w:r>
          </w:p>
        </w:tc>
        <w:tc>
          <w:tcPr>
            <w:tcW w:w="66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1,221,061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1,551,061</w:t>
            </w:r>
          </w:p>
        </w:tc>
      </w:tr>
      <w:tr>
        <w:trPr>
          <w:trHeight w:val="160"/>
        </w:trPr>
        <w:tc>
          <w:tcPr>
            <w:tcW w:w="3480" w:type="dxa"/>
            <w:vAlign w:val="bottom"/>
            <w:tcBorders>
              <w:top w:val="single" w:sz="8" w:color="CCECFF"/>
              <w:bottom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3"/>
                <w:szCs w:val="13"/>
                <w:b w:val="1"/>
                <w:bCs w:val="1"/>
                <w:color w:val="auto"/>
              </w:rPr>
              <w:t>Total Company’s shares</w:t>
            </w:r>
          </w:p>
        </w:tc>
        <w:tc>
          <w:tcPr>
            <w:tcW w:w="5440" w:type="dxa"/>
            <w:vAlign w:val="bottom"/>
            <w:tcBorders>
              <w:top w:val="single" w:sz="8" w:color="CCECFF"/>
              <w:bottom w:val="single" w:sz="8" w:color="CCECFF"/>
            </w:tcBorders>
            <w:shd w:val="clear" w:color="auto" w:fill="CCECFF"/>
          </w:tcPr>
          <w:p>
            <w:pPr>
              <w:spacing w:after="0"/>
              <w:rPr>
                <w:sz w:val="13"/>
                <w:szCs w:val="13"/>
                <w:color w:val="auto"/>
              </w:rPr>
            </w:pPr>
          </w:p>
        </w:tc>
        <w:tc>
          <w:tcPr>
            <w:tcW w:w="1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60,708,914</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120" w:type="dxa"/>
            <w:vAlign w:val="bottom"/>
            <w:tcBorders>
              <w:top w:val="single" w:sz="8" w:color="auto"/>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59,938,374</w:t>
            </w:r>
          </w:p>
        </w:tc>
      </w:tr>
      <w:tr>
        <w:trPr>
          <w:trHeight w:val="529"/>
        </w:trPr>
        <w:tc>
          <w:tcPr>
            <w:tcW w:w="3480" w:type="dxa"/>
            <w:vAlign w:val="bottom"/>
          </w:tcPr>
          <w:p>
            <w:pPr>
              <w:spacing w:after="0"/>
              <w:rPr>
                <w:sz w:val="24"/>
                <w:szCs w:val="24"/>
                <w:color w:val="auto"/>
              </w:rPr>
            </w:pPr>
          </w:p>
        </w:tc>
        <w:tc>
          <w:tcPr>
            <w:tcW w:w="6680" w:type="dxa"/>
            <w:vAlign w:val="bottom"/>
            <w:gridSpan w:val="3"/>
          </w:tcPr>
          <w:p>
            <w:pPr>
              <w:ind w:left="2040"/>
              <w:spacing w:after="0"/>
              <w:rPr>
                <w:sz w:val="20"/>
                <w:szCs w:val="20"/>
                <w:color w:val="auto"/>
              </w:rPr>
            </w:pPr>
            <w:r>
              <w:rPr>
                <w:rFonts w:ascii="Times New Roman" w:cs="Times New Roman" w:eastAsia="Times New Roman" w:hAnsi="Times New Roman"/>
                <w:sz w:val="13"/>
                <w:szCs w:val="13"/>
                <w:color w:val="auto"/>
              </w:rPr>
              <w:t>F- 29</w:t>
            </w:r>
          </w:p>
        </w:tc>
        <w:tc>
          <w:tcPr>
            <w:tcW w:w="180" w:type="dxa"/>
            <w:vAlign w:val="bottom"/>
          </w:tcPr>
          <w:p>
            <w:pPr>
              <w:spacing w:after="0"/>
              <w:rPr>
                <w:sz w:val="24"/>
                <w:szCs w:val="24"/>
                <w:color w:val="auto"/>
              </w:rPr>
            </w:pPr>
          </w:p>
        </w:tc>
        <w:tc>
          <w:tcPr>
            <w:tcW w:w="9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3"/>
                <w:szCs w:val="13"/>
                <w:color w:val="0000EE"/>
                <w:w w:val="98"/>
              </w:rPr>
              <w:t>Table of Contents</w:t>
            </w: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5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80"/>
          </w:cols>
          <w:pgMar w:left="300" w:top="205" w:right="31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3"/>
          <w:szCs w:val="13"/>
          <w:b w:val="1"/>
          <w:bCs w:val="1"/>
          <w:color w:val="auto"/>
        </w:rPr>
        <w:t>Capital Clean Energy Carriers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United States Dollars, unless otherwise specified)</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15. Omnibus Incentive Compensation Plan</w:t>
      </w:r>
    </w:p>
    <w:p>
      <w:pPr>
        <w:spacing w:after="0" w:line="11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In connection with the Conversion, on the Effective Date, the board of directors of the Company adopted an amendment and restatement of the Plan to reflect the effects of the Conversion and all the treasury units were converted to treasury shares.</w:t>
      </w:r>
    </w:p>
    <w:p>
      <w:pPr>
        <w:spacing w:after="0" w:line="11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In January 2024, the board of directors adopted the Plan and reserved for issuance a maximum number of 3,300,000 restricted common shares. On January 25, 2024, 1,100,000 common units of the 3,300,000 restricted common units were issued and recognized under treasury shares.</w:t>
      </w:r>
    </w:p>
    <w:p>
      <w:pPr>
        <w:spacing w:after="0" w:line="11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On January 1, 2025, the Company awarded 1,050,000 unvested shares to Employees and Non-Employees with a grant-date fair value of $18.27 per share. Awards granted to certain Employees and Non-Employees will vest in three equal installments. One third of the shares awarded, namely 350,000 shares vested on December 31, 2025. The fair value of these shares was $7,305 as of December 31, 2025.</w:t>
      </w:r>
    </w:p>
    <w:p>
      <w:pPr>
        <w:spacing w:after="0" w:line="1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3"/>
          <w:szCs w:val="13"/>
          <w:color w:val="auto"/>
        </w:rPr>
        <w:t>In January 2022, according to the amended and restated compensation plan approved by the board of directors the total number of restricted common shares reserved and issued was 1,045,000. On March 18, 2022, the Company awarded 743,800 unvested shares to Employees and Non-Employees with a grant-date fair value of $15.18 per share. Awards granted to certain Employees and Non-Employees would vest in three equal installments. One third of the shares awarded, namely 247,934, 247,933 and 247,933 shares vested on December 31, 2024, 2023 and 2022, respectively. On March 8, 2024, the Company awarded 96,104 unvested shares to Employees and Non-Employees with a grant-date fair value of $17.45 per share. The shares were fully vested on the same date. On December 31, 2024, the Company awarded 82,066 unvested shares to Employees and Non-Employees with a grant-date fair value of $18.36 per share. The shares were fully vested on the same date.</w:t>
      </w:r>
    </w:p>
    <w:p>
      <w:pPr>
        <w:spacing w:after="0" w:line="13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The unvested shares accrue distributions as declared and paid, which distributions are retained by the custodian of the Plan until the vesting date at which time they are payable to the grantee. As unvested share grantees accrue distributions on awards that are expected to vest, such distributions are charged to Company’s retained earnings. As of December 31, 2025, the unvested shares accrued $632 of distributions.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There were no forfeitures of awards during the years ended December 31, 2025, 2024 and 2023. The Company estimated the forfeitures of unvested shares to be immaterial.</w:t>
      </w:r>
    </w:p>
    <w:p>
      <w:pPr>
        <w:spacing w:after="0" w:line="17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For the years ended December 31, 2025, 2024 and 2023 the equity compensation expense included in “General and administrative expenses” in the consolidated statements of comprehensive income was $6,395, $6,918 and $3,786, respectively. The Company uses the straight-line method to recognize the cost of the awards. As of December 31, 2025, the total unrecognized compensation cost relating to non-vested awards was $12,789 and is expected to be recognized over a period of 2.0 years.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20" w:type="dxa"/>
            <w:vAlign w:val="bottom"/>
          </w:tcPr>
          <w:p>
            <w:pPr>
              <w:spacing w:after="0"/>
              <w:rPr>
                <w:sz w:val="20"/>
                <w:szCs w:val="20"/>
                <w:color w:val="auto"/>
              </w:rPr>
            </w:pPr>
            <w:r>
              <w:rPr>
                <w:rFonts w:ascii="Times New Roman" w:cs="Times New Roman" w:eastAsia="Times New Roman" w:hAnsi="Times New Roman"/>
                <w:sz w:val="13"/>
                <w:szCs w:val="13"/>
                <w:color w:val="auto"/>
              </w:rPr>
              <w:t>The following table contains details of Company’s plan:</w:t>
            </w:r>
          </w:p>
        </w:tc>
        <w:tc>
          <w:tcPr>
            <w:tcW w:w="2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Equity compensation plan</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882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Unvested Shares</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150"/>
        </w:trPr>
        <w:tc>
          <w:tcPr>
            <w:tcW w:w="8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Unvested on January 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247,934</w:t>
            </w: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3,769</w:t>
            </w:r>
          </w:p>
        </w:tc>
        <w:tc>
          <w:tcPr>
            <w:tcW w:w="0" w:type="dxa"/>
            <w:vAlign w:val="bottom"/>
          </w:tcPr>
          <w:p>
            <w:pPr>
              <w:spacing w:after="0"/>
              <w:rPr>
                <w:sz w:val="1"/>
                <w:szCs w:val="1"/>
                <w:color w:val="auto"/>
              </w:rPr>
            </w:pPr>
          </w:p>
        </w:tc>
      </w:tr>
      <w:tr>
        <w:trPr>
          <w:trHeight w:val="150"/>
        </w:trPr>
        <w:tc>
          <w:tcPr>
            <w:tcW w:w="8820" w:type="dxa"/>
            <w:vAlign w:val="bottom"/>
          </w:tcPr>
          <w:p>
            <w:pPr>
              <w:spacing w:after="0"/>
              <w:rPr>
                <w:sz w:val="20"/>
                <w:szCs w:val="20"/>
                <w:color w:val="auto"/>
              </w:rPr>
            </w:pPr>
            <w:r>
              <w:rPr>
                <w:rFonts w:ascii="Times New Roman" w:cs="Times New Roman" w:eastAsia="Times New Roman" w:hAnsi="Times New Roman"/>
                <w:sz w:val="13"/>
                <w:szCs w:val="13"/>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178,170</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3,149</w:t>
            </w:r>
          </w:p>
        </w:tc>
        <w:tc>
          <w:tcPr>
            <w:tcW w:w="0" w:type="dxa"/>
            <w:vAlign w:val="bottom"/>
          </w:tcPr>
          <w:p>
            <w:pPr>
              <w:spacing w:after="0"/>
              <w:rPr>
                <w:sz w:val="1"/>
                <w:szCs w:val="1"/>
                <w:color w:val="auto"/>
              </w:rPr>
            </w:pPr>
          </w:p>
        </w:tc>
      </w:tr>
      <w:tr>
        <w:trPr>
          <w:trHeight w:val="160"/>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Vested</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(426,104)</w:t>
            </w:r>
          </w:p>
        </w:tc>
        <w:tc>
          <w:tcPr>
            <w:tcW w:w="7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(6,918)</w:t>
            </w:r>
          </w:p>
        </w:tc>
        <w:tc>
          <w:tcPr>
            <w:tcW w:w="0" w:type="dxa"/>
            <w:vAlign w:val="bottom"/>
          </w:tcPr>
          <w:p>
            <w:pPr>
              <w:spacing w:after="0"/>
              <w:rPr>
                <w:sz w:val="1"/>
                <w:szCs w:val="1"/>
                <w:color w:val="auto"/>
              </w:rPr>
            </w:pPr>
          </w:p>
        </w:tc>
      </w:tr>
      <w:tr>
        <w:trPr>
          <w:trHeight w:val="150"/>
        </w:trPr>
        <w:tc>
          <w:tcPr>
            <w:tcW w:w="8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Unvested on December 31, 2024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6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0"/>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Granted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1,050,000</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19,184</w:t>
            </w:r>
          </w:p>
        </w:tc>
        <w:tc>
          <w:tcPr>
            <w:tcW w:w="0" w:type="dxa"/>
            <w:vAlign w:val="bottom"/>
          </w:tcPr>
          <w:p>
            <w:pPr>
              <w:spacing w:after="0"/>
              <w:rPr>
                <w:sz w:val="1"/>
                <w:szCs w:val="1"/>
                <w:color w:val="auto"/>
              </w:rPr>
            </w:pPr>
          </w:p>
        </w:tc>
      </w:tr>
      <w:tr>
        <w:trPr>
          <w:trHeight w:val="160"/>
        </w:trPr>
        <w:tc>
          <w:tcPr>
            <w:tcW w:w="8820" w:type="dxa"/>
            <w:vAlign w:val="bottom"/>
          </w:tcPr>
          <w:p>
            <w:pPr>
              <w:spacing w:after="0"/>
              <w:rPr>
                <w:sz w:val="20"/>
                <w:szCs w:val="20"/>
                <w:color w:val="auto"/>
              </w:rPr>
            </w:pPr>
            <w:r>
              <w:rPr>
                <w:rFonts w:ascii="Times New Roman" w:cs="Times New Roman" w:eastAsia="Times New Roman" w:hAnsi="Times New Roman"/>
                <w:sz w:val="13"/>
                <w:szCs w:val="13"/>
                <w:color w:val="auto"/>
              </w:rPr>
              <w:t>Vested</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(350,000)</w:t>
            </w:r>
          </w:p>
        </w:tc>
        <w:tc>
          <w:tcPr>
            <w:tcW w:w="7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(6,395)</w:t>
            </w:r>
          </w:p>
        </w:tc>
        <w:tc>
          <w:tcPr>
            <w:tcW w:w="0" w:type="dxa"/>
            <w:vAlign w:val="bottom"/>
          </w:tcPr>
          <w:p>
            <w:pPr>
              <w:spacing w:after="0"/>
              <w:rPr>
                <w:sz w:val="1"/>
                <w:szCs w:val="1"/>
                <w:color w:val="auto"/>
              </w:rPr>
            </w:pPr>
          </w:p>
        </w:tc>
      </w:tr>
      <w:tr>
        <w:trPr>
          <w:trHeight w:val="150"/>
        </w:trPr>
        <w:tc>
          <w:tcPr>
            <w:tcW w:w="8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Unvested on December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700,000</w:t>
            </w: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12,789</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16. Net Income Per Share</w:t>
      </w:r>
    </w:p>
    <w:p>
      <w:pPr>
        <w:spacing w:after="0" w:line="1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Basic net income per common share represents net income attributable to common shareholders divided by the weighted average number of common shares outstanding during the measurement period. Diluted net income per common share, if applicable, reflects the potential dilution that could occur upon vesting of the Company’s restricted stock awards, resulting in additional shares that would then share in the Company’s net income.</w:t>
      </w:r>
    </w:p>
    <w:p>
      <w:pPr>
        <w:spacing w:after="0" w:line="1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The Company’s restricted stock awards include rights to receive dividends that are subject to the risk of forfeiture if service requirements are not satisfied and therefore, these shares are not considered participating securities and are excluded from the calculation of the weighted average number of common shares outstanding, basic. For the purpose of calculating diluted earnings per share, the weighted average number of diluted shares outstanding includes the incremental shares assumed issued upon vesting of the restricted stock awards in excess of the number of shares assumed to be repurchased with the assumed proceeds, determined in accordance with the treasury stock method. For the year ended December 31, 2025, incremental shares totaled 272,031. For year ended December 31, 2024, the Company excluded the effect of 247,934 non-vested share awards, which all vested on December 31, 2024, in calculating diluted net income per common share, as they were anti-dilutive. For the year ended December 31, 2023, the Company excluded the effect of 495,867 non-vested share awards, from which 247,933 vested on December 31, 2023, in calculating dilutive EPS for its common shareholders as they were anti-dilutive.</w:t>
      </w:r>
    </w:p>
    <w:p>
      <w:pPr>
        <w:spacing w:after="0" w:line="215" w:lineRule="exact"/>
        <w:rPr>
          <w:sz w:val="20"/>
          <w:szCs w:val="20"/>
          <w:color w:val="auto"/>
        </w:rPr>
      </w:pPr>
    </w:p>
    <w:p>
      <w:pPr>
        <w:jc w:val="right"/>
        <w:spacing w:after="0"/>
        <w:tabs>
          <w:tab w:leader="none" w:pos="920" w:val="left"/>
        </w:tabs>
        <w:rPr>
          <w:sz w:val="20"/>
          <w:szCs w:val="20"/>
          <w:color w:val="auto"/>
        </w:rPr>
      </w:pPr>
      <w:r>
        <w:rPr>
          <w:rFonts w:ascii="Times New Roman" w:cs="Times New Roman" w:eastAsia="Times New Roman" w:hAnsi="Times New Roman"/>
          <w:sz w:val="13"/>
          <w:szCs w:val="13"/>
          <w:color w:val="auto"/>
        </w:rPr>
        <w:t>F- 30</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3"/>
          <w:szCs w:val="13"/>
          <w:b w:val="1"/>
          <w:bCs w:val="1"/>
          <w:color w:val="auto"/>
        </w:rPr>
        <w:t>Capital Clean Energy Carriers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United States Dollars, unless otherwise specified)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16. Net Income Per Share - Continued</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5"/>
        </w:trPr>
        <w:tc>
          <w:tcPr>
            <w:tcW w:w="7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 Company calculates net income per common share from continuing operations as follows:</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145"/>
        </w:trPr>
        <w:tc>
          <w:tcPr>
            <w:tcW w:w="7340" w:type="dxa"/>
            <w:vAlign w:val="bottom"/>
            <w:gridSpan w:val="2"/>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BASIC AND DILUTED</w:t>
            </w:r>
          </w:p>
        </w:tc>
        <w:tc>
          <w:tcPr>
            <w:tcW w:w="360" w:type="dxa"/>
            <w:vAlign w:val="bottom"/>
          </w:tcPr>
          <w:p>
            <w:pPr>
              <w:spacing w:after="0"/>
              <w:rPr>
                <w:sz w:val="12"/>
                <w:szCs w:val="12"/>
                <w:color w:val="auto"/>
              </w:rPr>
            </w:pPr>
          </w:p>
        </w:tc>
        <w:tc>
          <w:tcPr>
            <w:tcW w:w="100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tcPr>
          <w:p>
            <w:pPr>
              <w:spacing w:after="0"/>
              <w:rPr>
                <w:sz w:val="12"/>
                <w:szCs w:val="12"/>
                <w:color w:val="auto"/>
              </w:rPr>
            </w:pPr>
          </w:p>
        </w:tc>
        <w:tc>
          <w:tcPr>
            <w:tcW w:w="100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3"/>
                <w:szCs w:val="13"/>
                <w:b w:val="1"/>
                <w:bCs w:val="1"/>
                <w:color w:val="auto"/>
              </w:rPr>
              <w:t>2024</w:t>
            </w:r>
          </w:p>
        </w:tc>
        <w:tc>
          <w:tcPr>
            <w:tcW w:w="340" w:type="dxa"/>
            <w:vAlign w:val="bottom"/>
          </w:tcPr>
          <w:p>
            <w:pPr>
              <w:spacing w:after="0"/>
              <w:rPr>
                <w:sz w:val="12"/>
                <w:szCs w:val="12"/>
                <w:color w:val="auto"/>
              </w:rPr>
            </w:pPr>
          </w:p>
        </w:tc>
        <w:tc>
          <w:tcPr>
            <w:tcW w:w="88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b w:val="1"/>
                <w:bCs w:val="1"/>
                <w:color w:val="auto"/>
              </w:rPr>
              <w:t>2023</w:t>
            </w:r>
          </w:p>
        </w:tc>
      </w:tr>
      <w:tr>
        <w:trPr>
          <w:trHeight w:val="20"/>
        </w:trPr>
        <w:tc>
          <w:tcPr>
            <w:tcW w:w="1360" w:type="dxa"/>
            <w:vAlign w:val="bottom"/>
            <w:tcBorders>
              <w:top w:val="single" w:sz="8" w:color="auto"/>
              <w:bottom w:val="single" w:sz="8" w:color="CCEEFF"/>
            </w:tcBorders>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40"/>
        </w:trPr>
        <w:tc>
          <w:tcPr>
            <w:tcW w:w="734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3"/>
                <w:szCs w:val="13"/>
                <w:b w:val="1"/>
                <w:bCs w:val="1"/>
                <w:color w:val="auto"/>
              </w:rPr>
              <w:t>Numerators</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60"/>
        </w:trPr>
        <w:tc>
          <w:tcPr>
            <w:tcW w:w="7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Company’s net income from continuing operations</w:t>
            </w:r>
          </w:p>
        </w:tc>
        <w:tc>
          <w:tcPr>
            <w:tcW w:w="360" w:type="dxa"/>
            <w:vAlign w:val="bottom"/>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113,394</w:t>
            </w:r>
          </w:p>
        </w:tc>
        <w:tc>
          <w:tcPr>
            <w:tcW w:w="36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55,190</w:t>
            </w: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8,247</w:t>
            </w:r>
          </w:p>
        </w:tc>
      </w:tr>
      <w:tr>
        <w:trPr>
          <w:trHeight w:val="160"/>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Less:</w:t>
            </w:r>
          </w:p>
        </w:tc>
        <w:tc>
          <w:tcPr>
            <w:tcW w:w="3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60"/>
        </w:trPr>
        <w:tc>
          <w:tcPr>
            <w:tcW w:w="7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General Partner’s interest in Company’s net income</w:t>
            </w:r>
          </w:p>
        </w:tc>
        <w:tc>
          <w:tcPr>
            <w:tcW w:w="36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188</w:t>
            </w:r>
          </w:p>
        </w:tc>
        <w:tc>
          <w:tcPr>
            <w:tcW w:w="3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60"/>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Deemed dividend to General Partner</w:t>
            </w:r>
          </w:p>
        </w:tc>
        <w:tc>
          <w:tcPr>
            <w:tcW w:w="3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46,184</w:t>
            </w:r>
          </w:p>
        </w:tc>
        <w:tc>
          <w:tcPr>
            <w:tcW w:w="3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7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Company’s net income allocable to unvested shares</w:t>
            </w:r>
          </w:p>
        </w:tc>
        <w:tc>
          <w:tcPr>
            <w:tcW w:w="36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203</w:t>
            </w:r>
          </w:p>
        </w:tc>
        <w:tc>
          <w:tcPr>
            <w:tcW w:w="3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60"/>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attributable to common shareholders</w:t>
            </w:r>
          </w:p>
        </w:tc>
        <w:tc>
          <w:tcPr>
            <w:tcW w:w="3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113,394</w:t>
            </w:r>
          </w:p>
        </w:tc>
        <w:tc>
          <w:tcPr>
            <w:tcW w:w="36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8,615</w:t>
            </w:r>
          </w:p>
        </w:tc>
        <w:tc>
          <w:tcPr>
            <w:tcW w:w="34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8,131</w:t>
            </w:r>
          </w:p>
        </w:tc>
      </w:tr>
      <w:tr>
        <w:trPr>
          <w:trHeight w:val="160"/>
        </w:trPr>
        <w:tc>
          <w:tcPr>
            <w:tcW w:w="7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Denominators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0"/>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number of common shares outstanding, basic</w:t>
            </w:r>
          </w:p>
        </w:tc>
        <w:tc>
          <w:tcPr>
            <w:tcW w:w="3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58,919,848</w:t>
            </w:r>
          </w:p>
        </w:tc>
        <w:tc>
          <w:tcPr>
            <w:tcW w:w="3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56,094,666</w:t>
            </w:r>
          </w:p>
        </w:tc>
        <w:tc>
          <w:tcPr>
            <w:tcW w:w="3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21,182,471</w:t>
            </w:r>
          </w:p>
        </w:tc>
      </w:tr>
      <w:tr>
        <w:trPr>
          <w:trHeight w:val="160"/>
        </w:trPr>
        <w:tc>
          <w:tcPr>
            <w:tcW w:w="7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Effect of dilutive shares</w:t>
            </w:r>
          </w:p>
        </w:tc>
        <w:tc>
          <w:tcPr>
            <w:tcW w:w="36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272,031</w:t>
            </w:r>
          </w:p>
        </w:tc>
        <w:tc>
          <w:tcPr>
            <w:tcW w:w="36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number of common shares outstanding, diluted</w:t>
            </w:r>
          </w:p>
        </w:tc>
        <w:tc>
          <w:tcPr>
            <w:tcW w:w="3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59,191,879</w:t>
            </w:r>
          </w:p>
        </w:tc>
        <w:tc>
          <w:tcPr>
            <w:tcW w:w="3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56,094,666</w:t>
            </w:r>
          </w:p>
        </w:tc>
        <w:tc>
          <w:tcPr>
            <w:tcW w:w="3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21,182,471</w:t>
            </w:r>
          </w:p>
        </w:tc>
      </w:tr>
      <w:tr>
        <w:trPr>
          <w:trHeight w:val="160"/>
        </w:trPr>
        <w:tc>
          <w:tcPr>
            <w:tcW w:w="7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Net income from continuing operations per common share:</w:t>
            </w: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150"/>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Basic and Diluted (in United States Dollars)</w:t>
            </w:r>
          </w:p>
        </w:tc>
        <w:tc>
          <w:tcPr>
            <w:tcW w:w="36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1.92</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0.15</w:t>
            </w:r>
          </w:p>
        </w:tc>
        <w:tc>
          <w:tcPr>
            <w:tcW w:w="12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0.38</w:t>
            </w:r>
          </w:p>
        </w:tc>
      </w:tr>
    </w:tbl>
    <w:p>
      <w:pPr>
        <w:spacing w:after="0" w:line="305" w:lineRule="exact"/>
        <w:rPr>
          <w:sz w:val="20"/>
          <w:szCs w:val="20"/>
          <w:color w:val="auto"/>
        </w:rPr>
      </w:pPr>
    </w:p>
    <w:p>
      <w:pPr>
        <w:ind w:right="9200"/>
        <w:spacing w:after="0" w:line="472" w:lineRule="auto"/>
        <w:tabs>
          <w:tab w:leader="none" w:pos="200" w:val="left"/>
        </w:tabs>
        <w:numPr>
          <w:ilvl w:val="0"/>
          <w:numId w:val="14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Commitments and Contingencies Contingencies</w:t>
      </w:r>
    </w:p>
    <w:p>
      <w:pPr>
        <w:spacing w:after="0" w:line="3"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3"/>
          <w:szCs w:val="13"/>
          <w:color w:val="auto"/>
        </w:rPr>
        <w:t>Various claims, suits, and complaints, including those involving government regulations and product liability, arise in the ordinary course of the shipping business. In addition, losses may arise from disputes with charterers, agents, insurance and other claims with suppliers relating to the operations of the Company’s vessels.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 accrues the cost of environmental liabilities when management becomes aware that a liability is probable and is able to reasonably estimate the probable exposure.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 estimated loss from a contingency should be accrued by a charge to expense and a liability recorded only if all of the following conditions are met:</w:t>
      </w:r>
    </w:p>
    <w:p>
      <w:pPr>
        <w:spacing w:after="0" w:line="170" w:lineRule="exact"/>
        <w:rPr>
          <w:sz w:val="20"/>
          <w:szCs w:val="20"/>
          <w:color w:val="auto"/>
        </w:rPr>
      </w:pPr>
    </w:p>
    <w:p>
      <w:pPr>
        <w:ind w:left="80" w:hanging="80"/>
        <w:spacing w:after="0"/>
        <w:tabs>
          <w:tab w:leader="none" w:pos="80"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Information available prior to the issuance of the financial statement indicates that it is probable that a liability has been incurred at the date of the financial statements.</w:t>
      </w:r>
    </w:p>
    <w:p>
      <w:pPr>
        <w:spacing w:after="0" w:line="23" w:lineRule="exact"/>
        <w:rPr>
          <w:rFonts w:ascii="Times New Roman" w:cs="Times New Roman" w:eastAsia="Times New Roman" w:hAnsi="Times New Roman"/>
          <w:sz w:val="13"/>
          <w:szCs w:val="13"/>
          <w:color w:val="auto"/>
        </w:rPr>
      </w:pPr>
    </w:p>
    <w:p>
      <w:pPr>
        <w:ind w:left="80" w:hanging="80"/>
        <w:spacing w:after="0"/>
        <w:tabs>
          <w:tab w:leader="none" w:pos="80"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of the loss can be reasonably estimated.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Currently, the Company is not aware of any such claims or contingent liabilities which should be disclosed or for which a provision should be established in the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Commitments</w:t>
      </w:r>
    </w:p>
    <w:p>
      <w:pPr>
        <w:spacing w:after="0" w:line="170" w:lineRule="exact"/>
        <w:rPr>
          <w:sz w:val="20"/>
          <w:szCs w:val="20"/>
          <w:color w:val="auto"/>
        </w:rPr>
      </w:pPr>
    </w:p>
    <w:p>
      <w:pPr>
        <w:ind w:left="220" w:hanging="220"/>
        <w:spacing w:after="0"/>
        <w:tabs>
          <w:tab w:leader="none" w:pos="220" w:val="left"/>
        </w:tabs>
        <w:numPr>
          <w:ilvl w:val="0"/>
          <w:numId w:val="149"/>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xml:space="preserve">Leases: </w:t>
      </w:r>
      <w:r>
        <w:rPr>
          <w:rFonts w:ascii="Times New Roman" w:cs="Times New Roman" w:eastAsia="Times New Roman" w:hAnsi="Times New Roman"/>
          <w:sz w:val="13"/>
          <w:szCs w:val="13"/>
          <w:color w:val="auto"/>
        </w:rPr>
        <w:t>Future minimum charter hire receipts, excluding any profit share revenue that may arise, based on non-cancellable time and bareboat charter contracts, as of December 31, 2025 were: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Year ending December 31,</w:t>
            </w:r>
          </w:p>
        </w:tc>
        <w:tc>
          <w:tcPr>
            <w:tcW w:w="2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55"/>
        </w:trPr>
        <w:tc>
          <w:tcPr>
            <w:tcW w:w="7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2026</w:t>
            </w:r>
          </w:p>
        </w:tc>
        <w:tc>
          <w:tcPr>
            <w:tcW w:w="22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349,471</w:t>
            </w:r>
          </w:p>
        </w:tc>
      </w:tr>
      <w:tr>
        <w:trPr>
          <w:trHeight w:val="173"/>
        </w:trPr>
        <w:tc>
          <w:tcPr>
            <w:tcW w:w="79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2027</w:t>
            </w:r>
          </w:p>
        </w:tc>
        <w:tc>
          <w:tcPr>
            <w:tcW w:w="22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378,369</w:t>
            </w:r>
          </w:p>
        </w:tc>
      </w:tr>
      <w:tr>
        <w:trPr>
          <w:trHeight w:val="187"/>
        </w:trPr>
        <w:tc>
          <w:tcPr>
            <w:tcW w:w="7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2028</w:t>
            </w:r>
          </w:p>
        </w:tc>
        <w:tc>
          <w:tcPr>
            <w:tcW w:w="2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433,257</w:t>
            </w:r>
          </w:p>
        </w:tc>
      </w:tr>
      <w:tr>
        <w:trPr>
          <w:trHeight w:val="173"/>
        </w:trPr>
        <w:tc>
          <w:tcPr>
            <w:tcW w:w="79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2029</w:t>
            </w:r>
          </w:p>
        </w:tc>
        <w:tc>
          <w:tcPr>
            <w:tcW w:w="22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410,987</w:t>
            </w:r>
          </w:p>
        </w:tc>
      </w:tr>
      <w:tr>
        <w:trPr>
          <w:trHeight w:val="187"/>
        </w:trPr>
        <w:tc>
          <w:tcPr>
            <w:tcW w:w="7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2030</w:t>
            </w:r>
          </w:p>
        </w:tc>
        <w:tc>
          <w:tcPr>
            <w:tcW w:w="2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385,313</w:t>
            </w:r>
          </w:p>
        </w:tc>
      </w:tr>
      <w:tr>
        <w:trPr>
          <w:trHeight w:val="173"/>
        </w:trPr>
        <w:tc>
          <w:tcPr>
            <w:tcW w:w="7920" w:type="dxa"/>
            <w:vAlign w:val="bottom"/>
            <w:tcBorders>
              <w:bottom w:val="single" w:sz="8" w:color="CCECFF"/>
            </w:tcBorders>
          </w:tcPr>
          <w:p>
            <w:pPr>
              <w:ind w:left="80"/>
              <w:spacing w:after="0"/>
              <w:rPr>
                <w:sz w:val="20"/>
                <w:szCs w:val="20"/>
                <w:color w:val="auto"/>
              </w:rPr>
            </w:pPr>
            <w:r>
              <w:rPr>
                <w:rFonts w:ascii="Times New Roman" w:cs="Times New Roman" w:eastAsia="Times New Roman" w:hAnsi="Times New Roman"/>
                <w:sz w:val="13"/>
                <w:szCs w:val="13"/>
                <w:color w:val="auto"/>
              </w:rPr>
              <w:t>Thereafter</w:t>
            </w:r>
          </w:p>
        </w:tc>
        <w:tc>
          <w:tcPr>
            <w:tcW w:w="2240" w:type="dxa"/>
            <w:vAlign w:val="bottom"/>
            <w:tcBorders>
              <w:bottom w:val="single" w:sz="8" w:color="CCECFF"/>
            </w:tcBorders>
          </w:tcPr>
          <w:p>
            <w:pPr>
              <w:spacing w:after="0"/>
              <w:rPr>
                <w:sz w:val="15"/>
                <w:szCs w:val="15"/>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799,701</w:t>
            </w:r>
          </w:p>
        </w:tc>
      </w:tr>
      <w:tr>
        <w:trPr>
          <w:trHeight w:val="157"/>
        </w:trPr>
        <w:tc>
          <w:tcPr>
            <w:tcW w:w="7920" w:type="dxa"/>
            <w:vAlign w:val="bottom"/>
            <w:tcBorders>
              <w:bottom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240" w:type="dxa"/>
            <w:vAlign w:val="bottom"/>
            <w:tcBorders>
              <w:bottom w:val="single" w:sz="8" w:color="CCECFF"/>
            </w:tcBorders>
            <w:shd w:val="clear" w:color="auto" w:fill="CCEC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tcBorders>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b w:val="1"/>
                <w:bCs w:val="1"/>
                <w:color w:val="auto"/>
              </w:rPr>
              <w:t>2,757,098</w:t>
            </w:r>
          </w:p>
        </w:tc>
      </w:tr>
      <w:tr>
        <w:trPr>
          <w:trHeight w:val="399"/>
        </w:trPr>
        <w:tc>
          <w:tcPr>
            <w:tcW w:w="7920" w:type="dxa"/>
            <w:vAlign w:val="bottom"/>
          </w:tcPr>
          <w:p>
            <w:pPr>
              <w:ind w:left="5520"/>
              <w:spacing w:after="0"/>
              <w:rPr>
                <w:sz w:val="20"/>
                <w:szCs w:val="20"/>
                <w:color w:val="auto"/>
              </w:rPr>
            </w:pPr>
            <w:r>
              <w:rPr>
                <w:rFonts w:ascii="Times New Roman" w:cs="Times New Roman" w:eastAsia="Times New Roman" w:hAnsi="Times New Roman"/>
                <w:sz w:val="13"/>
                <w:szCs w:val="13"/>
                <w:color w:val="auto"/>
              </w:rPr>
              <w:t>F- 31</w:t>
            </w:r>
          </w:p>
        </w:tc>
        <w:tc>
          <w:tcPr>
            <w:tcW w:w="2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3"/>
                <w:szCs w:val="13"/>
                <w:color w:val="0000EE"/>
                <w:w w:val="98"/>
              </w:rPr>
              <w:t>Table of Contents</w:t>
            </w:r>
          </w:p>
        </w:tc>
      </w:tr>
      <w:tr>
        <w:trPr>
          <w:trHeight w:val="20"/>
        </w:trPr>
        <w:tc>
          <w:tcPr>
            <w:tcW w:w="79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80"/>
          </w:cols>
          <w:pgMar w:left="300" w:top="205" w:right="31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3"/>
          <w:szCs w:val="13"/>
          <w:b w:val="1"/>
          <w:bCs w:val="1"/>
          <w:color w:val="auto"/>
        </w:rPr>
        <w:t>Capital Clean Energy Carriers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Notes to the Consolidated Financial Statements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 of United States Dollars, unless otherwise specified)</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17. Commitments and Contingencies – Continued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Commitments – Continued</w:t>
      </w:r>
    </w:p>
    <w:p>
      <w:pPr>
        <w:spacing w:after="0" w:line="170" w:lineRule="exact"/>
        <w:rPr>
          <w:sz w:val="20"/>
          <w:szCs w:val="20"/>
          <w:color w:val="auto"/>
        </w:rPr>
      </w:pPr>
    </w:p>
    <w:p>
      <w:pPr>
        <w:spacing w:after="0" w:line="299" w:lineRule="auto"/>
        <w:tabs>
          <w:tab w:leader="none" w:pos="213" w:val="left"/>
        </w:tabs>
        <w:numPr>
          <w:ilvl w:val="0"/>
          <w:numId w:val="150"/>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xml:space="preserve">Vessels Under Construction: </w:t>
      </w:r>
      <w:r>
        <w:rPr>
          <w:rFonts w:ascii="Times New Roman" w:cs="Times New Roman" w:eastAsia="Times New Roman" w:hAnsi="Times New Roman"/>
          <w:sz w:val="13"/>
          <w:szCs w:val="13"/>
          <w:color w:val="auto"/>
        </w:rPr>
        <w:t>As of December 31, 2025, the Company had outstanding commitments relating to acquisitions of vessels and vessels under construction amounting to $489,300 and $1,897,117,</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respectively, which will be financed through the issuance of debt and cash at hand (Notes 5, 6).</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20"/>
                <w:szCs w:val="20"/>
                <w:color w:val="auto"/>
              </w:rPr>
            </w:pPr>
            <w:r>
              <w:rPr>
                <w:rFonts w:ascii="Times New Roman" w:cs="Times New Roman" w:eastAsia="Times New Roman" w:hAnsi="Times New Roman"/>
                <w:sz w:val="13"/>
                <w:szCs w:val="13"/>
                <w:color w:val="auto"/>
              </w:rPr>
              <w:t>The following table contains details of vessels under construction commitments:</w:t>
            </w:r>
          </w:p>
        </w:tc>
        <w:tc>
          <w:tcPr>
            <w:tcW w:w="3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Vessels’</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Vessels under</w:t>
            </w: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7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Year ending December 31,</w:t>
            </w: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75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acquisitions</w:t>
            </w:r>
          </w:p>
        </w:tc>
        <w:tc>
          <w:tcPr>
            <w:tcW w:w="28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construction</w:t>
            </w:r>
          </w:p>
        </w:tc>
        <w:tc>
          <w:tcPr>
            <w:tcW w:w="40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80"/>
        </w:trPr>
        <w:tc>
          <w:tcPr>
            <w:tcW w:w="75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7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2026</w:t>
            </w:r>
          </w:p>
        </w:tc>
        <w:tc>
          <w:tcPr>
            <w:tcW w:w="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244,000</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710,784</w:t>
            </w: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954,784</w:t>
            </w:r>
          </w:p>
        </w:tc>
        <w:tc>
          <w:tcPr>
            <w:tcW w:w="0" w:type="dxa"/>
            <w:vAlign w:val="bottom"/>
          </w:tcPr>
          <w:p>
            <w:pPr>
              <w:spacing w:after="0"/>
              <w:rPr>
                <w:sz w:val="1"/>
                <w:szCs w:val="1"/>
                <w:color w:val="auto"/>
              </w:rPr>
            </w:pPr>
          </w:p>
        </w:tc>
      </w:tr>
      <w:tr>
        <w:trPr>
          <w:trHeight w:val="170"/>
        </w:trPr>
        <w:tc>
          <w:tcPr>
            <w:tcW w:w="7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2027</w:t>
            </w:r>
          </w:p>
        </w:tc>
        <w:tc>
          <w:tcPr>
            <w:tcW w:w="30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Times New Roman" w:cs="Times New Roman" w:eastAsia="Times New Roman" w:hAnsi="Times New Roman"/>
                <w:sz w:val="15"/>
                <w:szCs w:val="15"/>
                <w:color w:val="auto"/>
              </w:rPr>
              <w:t>245,300</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577,908</w:t>
            </w:r>
          </w:p>
        </w:tc>
        <w:tc>
          <w:tcPr>
            <w:tcW w:w="4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823,208</w:t>
            </w:r>
          </w:p>
        </w:tc>
        <w:tc>
          <w:tcPr>
            <w:tcW w:w="0" w:type="dxa"/>
            <w:vAlign w:val="bottom"/>
          </w:tcPr>
          <w:p>
            <w:pPr>
              <w:spacing w:after="0"/>
              <w:rPr>
                <w:sz w:val="1"/>
                <w:szCs w:val="1"/>
                <w:color w:val="auto"/>
              </w:rPr>
            </w:pPr>
          </w:p>
        </w:tc>
      </w:tr>
      <w:tr>
        <w:trPr>
          <w:trHeight w:val="170"/>
        </w:trPr>
        <w:tc>
          <w:tcPr>
            <w:tcW w:w="7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2028</w:t>
            </w: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235,675</w:t>
            </w: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235,675</w:t>
            </w:r>
          </w:p>
        </w:tc>
        <w:tc>
          <w:tcPr>
            <w:tcW w:w="0" w:type="dxa"/>
            <w:vAlign w:val="bottom"/>
          </w:tcPr>
          <w:p>
            <w:pPr>
              <w:spacing w:after="0"/>
              <w:rPr>
                <w:sz w:val="1"/>
                <w:szCs w:val="1"/>
                <w:color w:val="auto"/>
              </w:rPr>
            </w:pPr>
          </w:p>
        </w:tc>
      </w:tr>
      <w:tr>
        <w:trPr>
          <w:trHeight w:val="170"/>
        </w:trPr>
        <w:tc>
          <w:tcPr>
            <w:tcW w:w="7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2029</w:t>
            </w:r>
          </w:p>
        </w:tc>
        <w:tc>
          <w:tcPr>
            <w:tcW w:w="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372,750</w:t>
            </w:r>
          </w:p>
        </w:tc>
        <w:tc>
          <w:tcPr>
            <w:tcW w:w="4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372,750</w:t>
            </w:r>
          </w:p>
        </w:tc>
        <w:tc>
          <w:tcPr>
            <w:tcW w:w="0" w:type="dxa"/>
            <w:vAlign w:val="bottom"/>
          </w:tcPr>
          <w:p>
            <w:pPr>
              <w:spacing w:after="0"/>
              <w:rPr>
                <w:sz w:val="1"/>
                <w:szCs w:val="1"/>
                <w:color w:val="auto"/>
              </w:rPr>
            </w:pPr>
          </w:p>
        </w:tc>
      </w:tr>
      <w:tr>
        <w:trPr>
          <w:trHeight w:val="160"/>
        </w:trPr>
        <w:tc>
          <w:tcPr>
            <w:tcW w:w="7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489,300</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1,897,117</w:t>
            </w: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2,386,417</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220" w:hanging="220"/>
        <w:spacing w:after="0"/>
        <w:tabs>
          <w:tab w:leader="none" w:pos="220" w:val="left"/>
        </w:tabs>
        <w:numPr>
          <w:ilvl w:val="0"/>
          <w:numId w:val="151"/>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xml:space="preserve">Supervision Services: </w:t>
      </w:r>
      <w:r>
        <w:rPr>
          <w:rFonts w:ascii="Times New Roman" w:cs="Times New Roman" w:eastAsia="Times New Roman" w:hAnsi="Times New Roman"/>
          <w:sz w:val="13"/>
          <w:szCs w:val="13"/>
          <w:color w:val="auto"/>
        </w:rPr>
        <w:t>As of December 31, 2025, the Company had outstanding commitments relating to supervision services agreements for vessels under construction, amounting to $6,567 (Notes 5, 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980" w:type="dxa"/>
            <w:vAlign w:val="bottom"/>
          </w:tcPr>
          <w:p>
            <w:pPr>
              <w:spacing w:after="0"/>
              <w:rPr>
                <w:sz w:val="20"/>
                <w:szCs w:val="20"/>
                <w:color w:val="auto"/>
              </w:rPr>
            </w:pPr>
            <w:r>
              <w:rPr>
                <w:rFonts w:ascii="Times New Roman" w:cs="Times New Roman" w:eastAsia="Times New Roman" w:hAnsi="Times New Roman"/>
                <w:sz w:val="13"/>
                <w:szCs w:val="13"/>
                <w:color w:val="auto"/>
              </w:rPr>
              <w:t>The following table contains details of supervision services commitments:</w:t>
            </w:r>
          </w:p>
        </w:tc>
        <w:tc>
          <w:tcPr>
            <w:tcW w:w="32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73"/>
        </w:trPr>
        <w:tc>
          <w:tcPr>
            <w:tcW w:w="69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Year ending December 31,</w:t>
            </w:r>
          </w:p>
        </w:tc>
        <w:tc>
          <w:tcPr>
            <w:tcW w:w="32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2026</w:t>
            </w:r>
          </w:p>
        </w:tc>
        <w:tc>
          <w:tcPr>
            <w:tcW w:w="3200" w:type="dxa"/>
            <w:vAlign w:val="bottom"/>
            <w:shd w:val="clear" w:color="auto" w:fill="CCEEFF"/>
          </w:tcPr>
          <w:p>
            <w:pPr>
              <w:jc w:val="right"/>
              <w:ind w:right="7"/>
              <w:spacing w:after="0" w:line="160"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2,067</w:t>
            </w:r>
          </w:p>
        </w:tc>
        <w:tc>
          <w:tcPr>
            <w:tcW w:w="0" w:type="dxa"/>
            <w:vAlign w:val="bottom"/>
          </w:tcPr>
          <w:p>
            <w:pPr>
              <w:spacing w:after="0"/>
              <w:rPr>
                <w:sz w:val="1"/>
                <w:szCs w:val="1"/>
                <w:color w:val="auto"/>
              </w:rPr>
            </w:pPr>
          </w:p>
        </w:tc>
      </w:tr>
      <w:tr>
        <w:trPr>
          <w:trHeight w:val="160"/>
        </w:trPr>
        <w:tc>
          <w:tcPr>
            <w:tcW w:w="69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2027</w:t>
            </w:r>
          </w:p>
        </w:tc>
        <w:tc>
          <w:tcPr>
            <w:tcW w:w="3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0" w:type="dxa"/>
            <w:vAlign w:val="bottom"/>
          </w:tcPr>
          <w:p>
            <w:pPr>
              <w:spacing w:after="0"/>
              <w:rPr>
                <w:sz w:val="1"/>
                <w:szCs w:val="1"/>
                <w:color w:val="auto"/>
              </w:rPr>
            </w:pPr>
          </w:p>
        </w:tc>
      </w:tr>
      <w:tr>
        <w:trPr>
          <w:trHeight w:val="170"/>
        </w:trPr>
        <w:tc>
          <w:tcPr>
            <w:tcW w:w="6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2028</w:t>
            </w:r>
          </w:p>
        </w:tc>
        <w:tc>
          <w:tcPr>
            <w:tcW w:w="3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70"/>
        </w:trPr>
        <w:tc>
          <w:tcPr>
            <w:tcW w:w="69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2029</w:t>
            </w:r>
          </w:p>
        </w:tc>
        <w:tc>
          <w:tcPr>
            <w:tcW w:w="3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160"/>
        </w:trPr>
        <w:tc>
          <w:tcPr>
            <w:tcW w:w="69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200" w:type="dxa"/>
            <w:vAlign w:val="bottom"/>
            <w:tcBorders>
              <w:bottom w:val="single" w:sz="8" w:color="CCEEFF"/>
            </w:tcBorders>
            <w:shd w:val="clear" w:color="auto" w:fill="CCEEFF"/>
          </w:tcPr>
          <w:p>
            <w:pPr>
              <w:jc w:val="right"/>
              <w:ind w:right="7"/>
              <w:spacing w:after="0" w:line="160" w:lineRule="exact"/>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6,567</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18. Subsequent Events</w:t>
      </w:r>
    </w:p>
    <w:p>
      <w:pPr>
        <w:spacing w:after="0" w:line="118" w:lineRule="exact"/>
        <w:rPr>
          <w:sz w:val="20"/>
          <w:szCs w:val="20"/>
          <w:color w:val="auto"/>
        </w:rPr>
      </w:pPr>
    </w:p>
    <w:p>
      <w:pPr>
        <w:spacing w:after="0" w:line="299" w:lineRule="auto"/>
        <w:tabs>
          <w:tab w:leader="none" w:pos="216" w:val="left"/>
        </w:tabs>
        <w:numPr>
          <w:ilvl w:val="0"/>
          <w:numId w:val="152"/>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xml:space="preserve">Dividends: </w:t>
      </w:r>
      <w:r>
        <w:rPr>
          <w:rFonts w:ascii="Times New Roman" w:cs="Times New Roman" w:eastAsia="Times New Roman" w:hAnsi="Times New Roman"/>
          <w:sz w:val="13"/>
          <w:szCs w:val="13"/>
          <w:color w:val="auto"/>
        </w:rPr>
        <w:t>On January 22, 2026, the Board of Directors of the Company declared a cash dividend per share of $0.15 for the fourth quarter of 2025 which was paid on February 12, 2026, to shareholders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record on February 3, 2026.</w:t>
      </w:r>
    </w:p>
    <w:p>
      <w:pPr>
        <w:spacing w:after="0" w:line="106" w:lineRule="exact"/>
        <w:rPr>
          <w:rFonts w:ascii="Times New Roman" w:cs="Times New Roman" w:eastAsia="Times New Roman" w:hAnsi="Times New Roman"/>
          <w:sz w:val="13"/>
          <w:szCs w:val="13"/>
          <w:b w:val="1"/>
          <w:bCs w:val="1"/>
          <w:i w:val="1"/>
          <w:iCs w:val="1"/>
          <w:color w:val="auto"/>
        </w:rPr>
      </w:pPr>
    </w:p>
    <w:p>
      <w:pPr>
        <w:ind w:left="220" w:hanging="220"/>
        <w:spacing w:after="0"/>
        <w:tabs>
          <w:tab w:leader="none" w:pos="220" w:val="left"/>
        </w:tabs>
        <w:numPr>
          <w:ilvl w:val="0"/>
          <w:numId w:val="152"/>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xml:space="preserve">Vessel delivery: </w:t>
      </w:r>
      <w:r>
        <w:rPr>
          <w:rFonts w:ascii="Times New Roman" w:cs="Times New Roman" w:eastAsia="Times New Roman" w:hAnsi="Times New Roman"/>
          <w:sz w:val="13"/>
          <w:szCs w:val="13"/>
          <w:color w:val="auto"/>
        </w:rPr>
        <w:t>On January 5, 2026, the Company took delivery of Hull 8398 from Hyundai, the LCO2 – HMG/C Active (Notes 6, 8).</w:t>
      </w:r>
    </w:p>
    <w:p>
      <w:pPr>
        <w:spacing w:after="0" w:line="169" w:lineRule="exact"/>
        <w:rPr>
          <w:rFonts w:ascii="Times New Roman" w:cs="Times New Roman" w:eastAsia="Times New Roman" w:hAnsi="Times New Roman"/>
          <w:sz w:val="13"/>
          <w:szCs w:val="13"/>
          <w:b w:val="1"/>
          <w:bCs w:val="1"/>
          <w:i w:val="1"/>
          <w:iCs w:val="1"/>
          <w:color w:val="auto"/>
        </w:rPr>
      </w:pPr>
    </w:p>
    <w:p>
      <w:pPr>
        <w:jc w:val="both"/>
        <w:spacing w:after="0" w:line="270" w:lineRule="auto"/>
        <w:tabs>
          <w:tab w:leader="none" w:pos="211" w:val="left"/>
        </w:tabs>
        <w:numPr>
          <w:ilvl w:val="0"/>
          <w:numId w:val="152"/>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xml:space="preserve">Unsecured bonds: </w:t>
      </w:r>
      <w:r>
        <w:rPr>
          <w:rFonts w:ascii="Times New Roman" w:cs="Times New Roman" w:eastAsia="Times New Roman" w:hAnsi="Times New Roman"/>
          <w:sz w:val="13"/>
          <w:szCs w:val="13"/>
          <w:color w:val="auto"/>
        </w:rPr>
        <w:t>On February 25, 2026, the Company successfully completed the offering of €250,000,000 of unsecured bonds to investors in Greece (the “2026 Bonds”), which were admitted to trading in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the category of fixed income securities of the Regulated Market of the Athens Exchange on February 26, 2026. The 2026 Bonds will mature in 2033 and will bear a coupon of 3.75%, payable semi-annually. The proceeds of the 2026 Bonds will be used to refinance the outstanding €150,000,000 of the 2021 Bonds, as well as to partially fund the Company’s capital expenditures and support the Company’s working capital needs. In April 2026 the Company fully repaid the 2021 Bonds.</w:t>
      </w:r>
    </w:p>
    <w:p>
      <w:pPr>
        <w:spacing w:after="0" w:line="125" w:lineRule="exact"/>
        <w:rPr>
          <w:rFonts w:ascii="Times New Roman" w:cs="Times New Roman" w:eastAsia="Times New Roman" w:hAnsi="Times New Roman"/>
          <w:sz w:val="13"/>
          <w:szCs w:val="13"/>
          <w:b w:val="1"/>
          <w:bCs w:val="1"/>
          <w:i w:val="1"/>
          <w:iCs w:val="1"/>
          <w:color w:val="auto"/>
        </w:rPr>
      </w:pPr>
    </w:p>
    <w:p>
      <w:pPr>
        <w:spacing w:after="0" w:line="299" w:lineRule="auto"/>
        <w:tabs>
          <w:tab w:leader="none" w:pos="225" w:val="left"/>
        </w:tabs>
        <w:numPr>
          <w:ilvl w:val="0"/>
          <w:numId w:val="152"/>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xml:space="preserve">Cross-currency swap agreements: </w:t>
      </w:r>
      <w:r>
        <w:rPr>
          <w:rFonts w:ascii="Times New Roman" w:cs="Times New Roman" w:eastAsia="Times New Roman" w:hAnsi="Times New Roman"/>
          <w:sz w:val="13"/>
          <w:szCs w:val="13"/>
          <w:color w:val="auto"/>
        </w:rPr>
        <w:t>In February 2026, in connection with the issuance of the 2026 Bonds, the Company entered into three cross-currency swap agreements (“Swap Agreements”) starting on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February 25, 2026:</w:t>
      </w:r>
    </w:p>
    <w:p>
      <w:pPr>
        <w:spacing w:after="0" w:line="111" w:lineRule="exact"/>
        <w:rPr>
          <w:sz w:val="20"/>
          <w:szCs w:val="20"/>
          <w:color w:val="auto"/>
        </w:rPr>
      </w:pPr>
    </w:p>
    <w:p>
      <w:pPr>
        <w:ind w:left="220" w:hanging="129"/>
        <w:spacing w:after="0"/>
        <w:tabs>
          <w:tab w:leader="none" w:pos="220"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the first Swap Agreement the Company exchanges €83,000,000 with $97,766 paying fixed annual rate of 5.11%;</w:t>
      </w:r>
    </w:p>
    <w:p>
      <w:pPr>
        <w:spacing w:after="0" w:line="23" w:lineRule="exact"/>
        <w:rPr>
          <w:rFonts w:ascii="Times New Roman" w:cs="Times New Roman" w:eastAsia="Times New Roman" w:hAnsi="Times New Roman"/>
          <w:sz w:val="13"/>
          <w:szCs w:val="13"/>
          <w:color w:val="auto"/>
        </w:rPr>
      </w:pPr>
    </w:p>
    <w:p>
      <w:pPr>
        <w:ind w:left="220" w:hanging="129"/>
        <w:spacing w:after="0"/>
        <w:tabs>
          <w:tab w:leader="none" w:pos="220"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the second Swap Agreement the Company exchanges €83,000,000 with $97,840 paying fixed annual rate of 5.11%; and</w:t>
      </w:r>
    </w:p>
    <w:p>
      <w:pPr>
        <w:spacing w:after="0" w:line="10" w:lineRule="exact"/>
        <w:rPr>
          <w:rFonts w:ascii="Times New Roman" w:cs="Times New Roman" w:eastAsia="Times New Roman" w:hAnsi="Times New Roman"/>
          <w:sz w:val="13"/>
          <w:szCs w:val="13"/>
          <w:color w:val="auto"/>
        </w:rPr>
      </w:pPr>
    </w:p>
    <w:p>
      <w:pPr>
        <w:ind w:left="220" w:hanging="129"/>
        <w:spacing w:after="0"/>
        <w:tabs>
          <w:tab w:leader="none" w:pos="220"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the third Swap Agreement the Company exchanges €84,000,000 with $98,990 paying fixed annual rate of 5.10%.</w:t>
      </w:r>
    </w:p>
    <w:p>
      <w:pPr>
        <w:spacing w:after="0" w:line="153" w:lineRule="exact"/>
        <w:rPr>
          <w:sz w:val="20"/>
          <w:szCs w:val="20"/>
          <w:color w:val="auto"/>
        </w:rPr>
      </w:pPr>
    </w:p>
    <w:p>
      <w:pPr>
        <w:jc w:val="both"/>
        <w:spacing w:after="0" w:line="270" w:lineRule="auto"/>
        <w:tabs>
          <w:tab w:leader="none" w:pos="211" w:val="left"/>
        </w:tabs>
        <w:numPr>
          <w:ilvl w:val="0"/>
          <w:numId w:val="154"/>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xml:space="preserve">Uncertainties caused by the conflict in the Middle East: </w:t>
      </w:r>
      <w:r>
        <w:rPr>
          <w:rFonts w:ascii="Times New Roman" w:cs="Times New Roman" w:eastAsia="Times New Roman" w:hAnsi="Times New Roman"/>
          <w:sz w:val="13"/>
          <w:szCs w:val="13"/>
          <w:color w:val="auto"/>
        </w:rPr>
        <w:t>The recent tensions and hostilities involving the United States, Israel and Iran may lead to further regional and international conflicts or armed action.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It is possible that such conflict could disrupt global energy transportation routes and cause instability in the global economy. While much uncertainty remains regarding the global impact of the conflict in the Middle East, it is possible that such tensions could adversely affect the Company’s business, financial condition, results of operations and cash flows. Currently, the conflict in Iran has had no material impact on the Company’s operations or financial performance.</w:t>
      </w:r>
    </w:p>
    <w:p>
      <w:pPr>
        <w:spacing w:after="0" w:line="125" w:lineRule="exact"/>
        <w:rPr>
          <w:rFonts w:ascii="Times New Roman" w:cs="Times New Roman" w:eastAsia="Times New Roman" w:hAnsi="Times New Roman"/>
          <w:sz w:val="13"/>
          <w:szCs w:val="13"/>
          <w:b w:val="1"/>
          <w:bCs w:val="1"/>
          <w:i w:val="1"/>
          <w:iCs w:val="1"/>
          <w:color w:val="auto"/>
        </w:rPr>
      </w:pPr>
    </w:p>
    <w:p>
      <w:pPr>
        <w:jc w:val="both"/>
        <w:spacing w:after="0" w:line="270" w:lineRule="auto"/>
        <w:tabs>
          <w:tab w:leader="none" w:pos="217" w:val="left"/>
        </w:tabs>
        <w:numPr>
          <w:ilvl w:val="0"/>
          <w:numId w:val="154"/>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Sale of Vessel to a joint venture company</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 April 2026, the Company entered into a joint venture arrangement (the “BGN JV”) with BMarine Shipping Investment FZCO (“BMarine”), an affiliate of the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BGN Group. Pursuant to the joint venture arrangement, the Company agreed to sell the LNG/C Amore Mio I to the BGN JV, a newly formed Marshall Islands limited liability company in which the Company holds a 51% interest and BMarine holds the remaining 49% for a total consideration of $230,000. In connection with the transaction, the LNG/C Amore Mio I will be chartered to an affiliate of BGN Group, under a 10-year time charter, with two three-year extension options exercising by the charterer, commencing in the first quarter of 2027.</w:t>
      </w:r>
    </w:p>
    <w:p>
      <w:pPr>
        <w:spacing w:after="0" w:line="240" w:lineRule="exact"/>
        <w:rPr>
          <w:sz w:val="20"/>
          <w:szCs w:val="20"/>
          <w:color w:val="auto"/>
        </w:rPr>
      </w:pPr>
    </w:p>
    <w:p>
      <w:pPr>
        <w:jc w:val="right"/>
        <w:spacing w:after="0"/>
        <w:tabs>
          <w:tab w:leader="none" w:pos="920" w:val="left"/>
        </w:tabs>
        <w:rPr>
          <w:sz w:val="20"/>
          <w:szCs w:val="20"/>
          <w:color w:val="auto"/>
        </w:rPr>
      </w:pPr>
      <w:r>
        <w:rPr>
          <w:rFonts w:ascii="Times New Roman" w:cs="Times New Roman" w:eastAsia="Times New Roman" w:hAnsi="Times New Roman"/>
          <w:sz w:val="13"/>
          <w:szCs w:val="13"/>
          <w:color w:val="auto"/>
        </w:rPr>
        <w:t>F- 32</w:t>
      </w:r>
      <w:r>
        <w:rPr>
          <w:sz w:val="20"/>
          <w:szCs w:val="20"/>
          <w:color w:val="auto"/>
        </w:rPr>
        <w:tab/>
      </w: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16788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205" w:right="319" w:bottom="1440" w:gutter="0" w:footer="0" w:header="0"/>
        </w:sectPr>
      </w:pPr>
    </w:p>
    <w:bookmarkStart w:id="175" w:name="page176"/>
    <w:bookmarkEnd w:id="17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3"/>
          <w:szCs w:val="13"/>
          <w:b w:val="1"/>
          <w:bCs w:val="1"/>
          <w:color w:val="auto"/>
        </w:rPr>
        <w:t>Exhibit 2.1</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SECURITIES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REGISTERED UNDER SECTION 12 OF THE EXCHANGE ACT</w:t>
      </w:r>
    </w:p>
    <w:p>
      <w:pPr>
        <w:spacing w:after="0" w:line="172" w:lineRule="exact"/>
        <w:rPr>
          <w:sz w:val="20"/>
          <w:szCs w:val="20"/>
          <w:color w:val="auto"/>
        </w:rPr>
      </w:pPr>
    </w:p>
    <w:p>
      <w:pPr>
        <w:jc w:val="both"/>
        <w:ind w:firstLine="326"/>
        <w:spacing w:after="0" w:line="293" w:lineRule="auto"/>
        <w:rPr>
          <w:sz w:val="20"/>
          <w:szCs w:val="20"/>
          <w:color w:val="auto"/>
        </w:rPr>
      </w:pPr>
      <w:r>
        <w:rPr>
          <w:rFonts w:ascii="Times New Roman" w:cs="Times New Roman" w:eastAsia="Times New Roman" w:hAnsi="Times New Roman"/>
          <w:sz w:val="13"/>
          <w:szCs w:val="13"/>
          <w:color w:val="auto"/>
        </w:rPr>
        <w:t>As of the date of this Annual Report on Form 20-F (the “</w:t>
      </w:r>
      <w:r>
        <w:rPr>
          <w:rFonts w:ascii="Times New Roman" w:cs="Times New Roman" w:eastAsia="Times New Roman" w:hAnsi="Times New Roman"/>
          <w:sz w:val="13"/>
          <w:szCs w:val="13"/>
          <w:u w:val="single" w:color="auto"/>
          <w:color w:val="auto"/>
        </w:rPr>
        <w:t>Annual Report</w:t>
      </w:r>
      <w:r>
        <w:rPr>
          <w:rFonts w:ascii="Times New Roman" w:cs="Times New Roman" w:eastAsia="Times New Roman" w:hAnsi="Times New Roman"/>
          <w:sz w:val="13"/>
          <w:szCs w:val="13"/>
          <w:color w:val="auto"/>
        </w:rPr>
        <w:t>”), Capital Clean Energy Carriers Corp.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had the following series of securities registered pursuant to Section 12(b) of the Act:</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00" w:type="dxa"/>
            <w:vAlign w:val="bottom"/>
          </w:tcPr>
          <w:p>
            <w:pPr>
              <w:spacing w:after="0"/>
              <w:rPr>
                <w:sz w:val="15"/>
                <w:szCs w:val="15"/>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Trading symbol(s)</w:t>
            </w:r>
          </w:p>
        </w:tc>
        <w:tc>
          <w:tcPr>
            <w:tcW w:w="100" w:type="dxa"/>
            <w:vAlign w:val="bottom"/>
          </w:tcPr>
          <w:p>
            <w:pPr>
              <w:spacing w:after="0"/>
              <w:rPr>
                <w:sz w:val="15"/>
                <w:szCs w:val="15"/>
                <w:color w:val="auto"/>
              </w:rPr>
            </w:pP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63"/>
        </w:trPr>
        <w:tc>
          <w:tcPr>
            <w:tcW w:w="44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Common Shares, par value $0.01 per share</w:t>
            </w:r>
          </w:p>
        </w:tc>
        <w:tc>
          <w:tcPr>
            <w:tcW w:w="10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CCEC</w:t>
            </w:r>
          </w:p>
        </w:tc>
        <w:tc>
          <w:tcPr>
            <w:tcW w:w="100" w:type="dxa"/>
            <w:vAlign w:val="bottom"/>
          </w:tcPr>
          <w:p>
            <w:pPr>
              <w:spacing w:after="0"/>
              <w:rPr>
                <w:sz w:val="14"/>
                <w:szCs w:val="1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Nasdaq Global Select Market</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CAPITAL STOCK</w:t>
      </w:r>
    </w:p>
    <w:p>
      <w:pPr>
        <w:spacing w:after="0" w:line="3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Capitalized terms used but not defined herein have the meanings given to them in the Annual Report.</w:t>
      </w:r>
    </w:p>
    <w:p>
      <w:pPr>
        <w:spacing w:after="0" w:line="170" w:lineRule="exact"/>
        <w:rPr>
          <w:sz w:val="20"/>
          <w:szCs w:val="20"/>
          <w:color w:val="auto"/>
        </w:rPr>
      </w:pPr>
    </w:p>
    <w:p>
      <w:pPr>
        <w:jc w:val="both"/>
        <w:ind w:firstLine="326"/>
        <w:spacing w:after="0" w:line="274" w:lineRule="auto"/>
        <w:rPr>
          <w:sz w:val="20"/>
          <w:szCs w:val="20"/>
          <w:color w:val="auto"/>
        </w:rPr>
      </w:pPr>
      <w:r>
        <w:rPr>
          <w:rFonts w:ascii="Times New Roman" w:cs="Times New Roman" w:eastAsia="Times New Roman" w:hAnsi="Times New Roman"/>
          <w:sz w:val="13"/>
          <w:szCs w:val="13"/>
          <w:color w:val="auto"/>
        </w:rPr>
        <w:t>The following is a summary description of the capital stock of the Company and of certain provisions of the Articles of Incorporation of the Company (the “</w:t>
      </w:r>
      <w:r>
        <w:rPr>
          <w:rFonts w:ascii="Times New Roman" w:cs="Times New Roman" w:eastAsia="Times New Roman" w:hAnsi="Times New Roman"/>
          <w:sz w:val="13"/>
          <w:szCs w:val="13"/>
          <w:u w:val="single" w:color="auto"/>
          <w:color w:val="auto"/>
        </w:rPr>
        <w:t>Articles of Incorporation</w:t>
      </w:r>
      <w:r>
        <w:rPr>
          <w:rFonts w:ascii="Times New Roman" w:cs="Times New Roman" w:eastAsia="Times New Roman" w:hAnsi="Times New Roman"/>
          <w:sz w:val="13"/>
          <w:szCs w:val="13"/>
          <w:color w:val="auto"/>
        </w:rPr>
        <w:t>”) and the Bylaws of the Company (the “</w:t>
      </w:r>
      <w:r>
        <w:rPr>
          <w:rFonts w:ascii="Times New Roman" w:cs="Times New Roman" w:eastAsia="Times New Roman" w:hAnsi="Times New Roman"/>
          <w:sz w:val="13"/>
          <w:szCs w:val="13"/>
          <w:u w:val="single" w:color="auto"/>
          <w:color w:val="auto"/>
        </w:rPr>
        <w:t>Bylaws</w:t>
      </w:r>
      <w:r>
        <w:rPr>
          <w:rFonts w:ascii="Times New Roman" w:cs="Times New Roman" w:eastAsia="Times New Roman" w:hAnsi="Times New Roman"/>
          <w:sz w:val="13"/>
          <w:szCs w:val="13"/>
          <w:color w:val="auto"/>
        </w:rPr>
        <w:t>”). Because it is a summary, the following description is not complete and is subject to and qualified in its entirety by reference to the Articles of Incorporation and Bylaws. The Marshall Islands Business Corporations Act (the “</w:t>
      </w:r>
      <w:r>
        <w:rPr>
          <w:rFonts w:ascii="Times New Roman" w:cs="Times New Roman" w:eastAsia="Times New Roman" w:hAnsi="Times New Roman"/>
          <w:sz w:val="13"/>
          <w:szCs w:val="13"/>
          <w:u w:val="single" w:color="auto"/>
          <w:color w:val="auto"/>
        </w:rPr>
        <w:t>MIBCA</w:t>
      </w:r>
      <w:r>
        <w:rPr>
          <w:rFonts w:ascii="Times New Roman" w:cs="Times New Roman" w:eastAsia="Times New Roman" w:hAnsi="Times New Roman"/>
          <w:sz w:val="13"/>
          <w:szCs w:val="13"/>
          <w:color w:val="auto"/>
        </w:rPr>
        <w:t>”) may also affect the terms of our capital stock.</w:t>
      </w:r>
    </w:p>
    <w:p>
      <w:pPr>
        <w:spacing w:after="0" w:line="127" w:lineRule="exact"/>
        <w:rPr>
          <w:sz w:val="20"/>
          <w:szCs w:val="20"/>
          <w:color w:val="auto"/>
        </w:rPr>
      </w:pPr>
    </w:p>
    <w:p>
      <w:pPr>
        <w:jc w:val="both"/>
        <w:ind w:firstLine="326"/>
        <w:spacing w:after="0" w:line="274" w:lineRule="auto"/>
        <w:rPr>
          <w:sz w:val="20"/>
          <w:szCs w:val="20"/>
          <w:color w:val="auto"/>
        </w:rPr>
      </w:pPr>
      <w:r>
        <w:rPr>
          <w:rFonts w:ascii="Times New Roman" w:cs="Times New Roman" w:eastAsia="Times New Roman" w:hAnsi="Times New Roman"/>
          <w:sz w:val="13"/>
          <w:szCs w:val="13"/>
          <w:color w:val="auto"/>
        </w:rPr>
        <w:t>The Company was originally formed as a Marshall Islands limited partnership named “Capital Product Partners L.P.”, and on August 26, 2024 converted into a Marshall Islands corporation with entity number 127653 with the Marshall Islands Registrar of Corporations (the “</w:t>
      </w:r>
      <w:r>
        <w:rPr>
          <w:rFonts w:ascii="Times New Roman" w:cs="Times New Roman" w:eastAsia="Times New Roman" w:hAnsi="Times New Roman"/>
          <w:sz w:val="13"/>
          <w:szCs w:val="13"/>
          <w:u w:val="single" w:color="auto"/>
          <w:color w:val="auto"/>
        </w:rPr>
        <w:t>Conversion</w:t>
      </w:r>
      <w:r>
        <w:rPr>
          <w:rFonts w:ascii="Times New Roman" w:cs="Times New Roman" w:eastAsia="Times New Roman" w:hAnsi="Times New Roman"/>
          <w:sz w:val="13"/>
          <w:szCs w:val="13"/>
          <w:color w:val="auto"/>
        </w:rPr>
        <w:t>”). For purposes of the following description of capital stock, references to “us,” “we” and “our” refer to the Company following the Conversion.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Purpose</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Our purpose, as provided in Article II of the Articles of Incorporation, is to engage in any lawful act or activity for which corporations may be organized under the MIBCA.</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Authorized Capitalization</w:t>
      </w:r>
    </w:p>
    <w:p>
      <w:pPr>
        <w:spacing w:after="0" w:line="172" w:lineRule="exact"/>
        <w:rPr>
          <w:sz w:val="20"/>
          <w:szCs w:val="20"/>
          <w:color w:val="auto"/>
        </w:rPr>
      </w:pPr>
    </w:p>
    <w:p>
      <w:pPr>
        <w:jc w:val="both"/>
        <w:ind w:firstLine="326"/>
        <w:spacing w:after="0" w:line="293" w:lineRule="auto"/>
        <w:rPr>
          <w:sz w:val="20"/>
          <w:szCs w:val="20"/>
          <w:color w:val="auto"/>
        </w:rPr>
      </w:pPr>
      <w:r>
        <w:rPr>
          <w:rFonts w:ascii="Times New Roman" w:cs="Times New Roman" w:eastAsia="Times New Roman" w:hAnsi="Times New Roman"/>
          <w:sz w:val="13"/>
          <w:szCs w:val="13"/>
          <w:color w:val="auto"/>
        </w:rPr>
        <w:t>As of the date of this Annual Report, our authorized capital stock consisted of 500,000,000 common shares, par value $0.01 per share, and 100,000,000 preferred shares, par value of $0.01 per share, in each case, that we may issue without further shareholder approval. All of our shares are in registered form. The Articles of Incorporation do not permit the issuance of bearer shares.</w:t>
      </w:r>
    </w:p>
    <w:p>
      <w:pPr>
        <w:spacing w:after="0" w:line="114" w:lineRule="exact"/>
        <w:rPr>
          <w:sz w:val="20"/>
          <w:szCs w:val="20"/>
          <w:color w:val="auto"/>
        </w:rPr>
      </w:pPr>
    </w:p>
    <w:p>
      <w:pPr>
        <w:jc w:val="both"/>
        <w:ind w:firstLine="326"/>
        <w:spacing w:after="0" w:line="268" w:lineRule="auto"/>
        <w:rPr>
          <w:sz w:val="20"/>
          <w:szCs w:val="20"/>
          <w:color w:val="auto"/>
        </w:rPr>
      </w:pPr>
      <w:r>
        <w:rPr>
          <w:rFonts w:ascii="Times New Roman" w:cs="Times New Roman" w:eastAsia="Times New Roman" w:hAnsi="Times New Roman"/>
          <w:sz w:val="13"/>
          <w:szCs w:val="13"/>
          <w:color w:val="auto"/>
        </w:rPr>
        <w:t>The Company’s Board of Directors (the “</w:t>
      </w:r>
      <w:r>
        <w:rPr>
          <w:rFonts w:ascii="Times New Roman" w:cs="Times New Roman" w:eastAsia="Times New Roman" w:hAnsi="Times New Roman"/>
          <w:sz w:val="13"/>
          <w:szCs w:val="13"/>
          <w:u w:val="single" w:color="auto"/>
          <w:color w:val="auto"/>
        </w:rPr>
        <w:t>Board of Directors</w:t>
      </w:r>
      <w:r>
        <w:rPr>
          <w:rFonts w:ascii="Times New Roman" w:cs="Times New Roman" w:eastAsia="Times New Roman" w:hAnsi="Times New Roman"/>
          <w:sz w:val="13"/>
          <w:szCs w:val="13"/>
          <w:color w:val="auto"/>
        </w:rPr>
        <w:t>”) has the authority to fix by resolution or resolutions the designations and powers, preferences and rights, and the qualifications, limitations and restrictions of each series of preferred shares that are not inconsistent with applicable law and the Shareholders’ Agreement dated August 26, 2024 (the “</w:t>
      </w:r>
      <w:r>
        <w:rPr>
          <w:rFonts w:ascii="Times New Roman" w:cs="Times New Roman" w:eastAsia="Times New Roman" w:hAnsi="Times New Roman"/>
          <w:sz w:val="13"/>
          <w:szCs w:val="13"/>
          <w:u w:val="single" w:color="auto"/>
          <w:color w:val="auto"/>
        </w:rPr>
        <w:t>Shareholders’ Agreement</w:t>
      </w:r>
      <w:r>
        <w:rPr>
          <w:rFonts w:ascii="Times New Roman" w:cs="Times New Roman" w:eastAsia="Times New Roman" w:hAnsi="Times New Roman"/>
          <w:sz w:val="13"/>
          <w:szCs w:val="13"/>
          <w:color w:val="auto"/>
        </w:rPr>
        <w:t>”), among the Company, Capital Maritime &amp; Trading Corp. (“</w:t>
      </w:r>
      <w:r>
        <w:rPr>
          <w:rFonts w:ascii="Times New Roman" w:cs="Times New Roman" w:eastAsia="Times New Roman" w:hAnsi="Times New Roman"/>
          <w:sz w:val="13"/>
          <w:szCs w:val="13"/>
          <w:u w:val="single" w:color="auto"/>
          <w:color w:val="auto"/>
        </w:rPr>
        <w:t>CMTC</w:t>
      </w:r>
      <w:r>
        <w:rPr>
          <w:rFonts w:ascii="Times New Roman" w:cs="Times New Roman" w:eastAsia="Times New Roman" w:hAnsi="Times New Roman"/>
          <w:sz w:val="13"/>
          <w:szCs w:val="13"/>
          <w:color w:val="auto"/>
        </w:rPr>
        <w:t>”), Capital Gas Corp. (“</w:t>
      </w:r>
      <w:r>
        <w:rPr>
          <w:rFonts w:ascii="Times New Roman" w:cs="Times New Roman" w:eastAsia="Times New Roman" w:hAnsi="Times New Roman"/>
          <w:sz w:val="13"/>
          <w:szCs w:val="13"/>
          <w:u w:val="single" w:color="auto"/>
          <w:color w:val="auto"/>
        </w:rPr>
        <w:t>Capital Gas</w:t>
      </w:r>
      <w:r>
        <w:rPr>
          <w:rFonts w:ascii="Times New Roman" w:cs="Times New Roman" w:eastAsia="Times New Roman" w:hAnsi="Times New Roman"/>
          <w:sz w:val="13"/>
          <w:szCs w:val="13"/>
          <w:color w:val="auto"/>
        </w:rPr>
        <w:t>”) and Capital GP L.L.C (“</w:t>
      </w:r>
      <w:r>
        <w:rPr>
          <w:rFonts w:ascii="Times New Roman" w:cs="Times New Roman" w:eastAsia="Times New Roman" w:hAnsi="Times New Roman"/>
          <w:sz w:val="13"/>
          <w:szCs w:val="13"/>
          <w:u w:val="single" w:color="auto"/>
          <w:color w:val="auto"/>
        </w:rPr>
        <w:t>Capital GP</w:t>
      </w:r>
      <w:r>
        <w:rPr>
          <w:rFonts w:ascii="Times New Roman" w:cs="Times New Roman" w:eastAsia="Times New Roman" w:hAnsi="Times New Roman"/>
          <w:sz w:val="13"/>
          <w:szCs w:val="13"/>
          <w:color w:val="auto"/>
        </w:rPr>
        <w:t>” and together with CMTC and Capital Gas, the “</w:t>
      </w:r>
      <w:r>
        <w:rPr>
          <w:rFonts w:ascii="Times New Roman" w:cs="Times New Roman" w:eastAsia="Times New Roman" w:hAnsi="Times New Roman"/>
          <w:sz w:val="13"/>
          <w:szCs w:val="13"/>
          <w:u w:val="single" w:color="auto"/>
          <w:color w:val="auto"/>
        </w:rPr>
        <w:t>Capital Parties</w:t>
      </w:r>
      <w:r>
        <w:rPr>
          <w:rFonts w:ascii="Times New Roman" w:cs="Times New Roman" w:eastAsia="Times New Roman" w:hAnsi="Times New Roman"/>
          <w:sz w:val="13"/>
          <w:szCs w:val="13"/>
          <w:color w:val="auto"/>
        </w:rPr>
        <w:t>”). The Board of Directors may issue preferred shares on terms calculated to discourage, delay or prevent a change of control or the removal of our management.</w:t>
      </w:r>
    </w:p>
    <w:p>
      <w:pPr>
        <w:spacing w:after="0" w:line="131" w:lineRule="exact"/>
        <w:rPr>
          <w:sz w:val="20"/>
          <w:szCs w:val="20"/>
          <w:color w:val="auto"/>
        </w:rPr>
      </w:pPr>
    </w:p>
    <w:p>
      <w:pPr>
        <w:jc w:val="both"/>
        <w:ind w:firstLine="326"/>
        <w:spacing w:after="0" w:line="293" w:lineRule="auto"/>
        <w:rPr>
          <w:sz w:val="20"/>
          <w:szCs w:val="20"/>
          <w:color w:val="auto"/>
        </w:rPr>
      </w:pPr>
      <w:r>
        <w:rPr>
          <w:rFonts w:ascii="Times New Roman" w:cs="Times New Roman" w:eastAsia="Times New Roman" w:hAnsi="Times New Roman"/>
          <w:sz w:val="13"/>
          <w:szCs w:val="13"/>
          <w:color w:val="auto"/>
        </w:rPr>
        <w:t>There is no limitation on the right to own our securities or the rights of non-resident or foreign shareholders to hold or exercise voting rights on our securities under Marshall Islands law, the Articles of Incorporation or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232410</wp:posOffset>
            </wp:positionV>
            <wp:extent cx="7167880"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3"/>
          <w:szCs w:val="13"/>
          <w:b w:val="1"/>
          <w:bCs w:val="1"/>
          <w:color w:val="auto"/>
        </w:rPr>
        <w:t>Description of Common Shares</w:t>
      </w:r>
    </w:p>
    <w:p>
      <w:pPr>
        <w:spacing w:after="0" w:line="172" w:lineRule="exact"/>
        <w:rPr>
          <w:sz w:val="20"/>
          <w:szCs w:val="20"/>
          <w:color w:val="auto"/>
        </w:rPr>
      </w:pPr>
    </w:p>
    <w:p>
      <w:pPr>
        <w:jc w:val="both"/>
        <w:ind w:firstLine="326"/>
        <w:spacing w:after="0" w:line="261" w:lineRule="auto"/>
        <w:rPr>
          <w:sz w:val="20"/>
          <w:szCs w:val="20"/>
          <w:color w:val="auto"/>
        </w:rPr>
      </w:pPr>
      <w:r>
        <w:rPr>
          <w:rFonts w:ascii="Times New Roman" w:cs="Times New Roman" w:eastAsia="Times New Roman" w:hAnsi="Times New Roman"/>
          <w:sz w:val="13"/>
          <w:szCs w:val="13"/>
          <w:color w:val="auto"/>
        </w:rPr>
        <w:t>Unless otherwise required by applicable law or provided in the Articles of Incorporation, each holder of common shares entitled to vote at any meeting of shareholders shall be entitled to one vote for each common share held by such shareholder which has voting power upon the matter in question. Subject to preferences that may be applicable to any preferred shares then outstanding, holders of common shares are entitled to receive ratably (on a per share basis) all dividends, if any, declared by the Board of Directors out of funds legally available for dividends. Upon our dissolution or liquidation, after payment in full of all amounts required to be paid to creditors and to the holders of preferred shares having liquidation preferences, if any, the holders of our common shares will be entitled to receive pro rata based on the number of common shares held our remaining assets available for distribution. Holders of our common shares do not have conversion or redemption rights. Holders of our common shares do not have any preferential or preemptive rights to subscribe for, purchase or receive any of our shares of any class or series or any options or warrants for such shares, or any rights to subscribe to or purchase such shares, or any securities convertible into or exchangeable for such shares, which may at any time be issued, sold or offered for sale by us. The rights, preferences and privileges of holders of our common shares are subject to the rights of the holders of any preferred shares that we may issue in the future. If any series of preferred shares are issued with more or less than one vote for any share, on any matter, every reference in the Articles of Incorporation and the Bylaws to a majority or other proportion of stock or shares shall refer to such majority or other proportion of the votes of such stock or shares.</w:t>
      </w:r>
    </w:p>
    <w:p>
      <w:pPr>
        <w:spacing w:after="0" w:line="134" w:lineRule="exact"/>
        <w:rPr>
          <w:sz w:val="20"/>
          <w:szCs w:val="20"/>
          <w:color w:val="auto"/>
        </w:rPr>
      </w:pPr>
    </w:p>
    <w:p>
      <w:pPr>
        <w:jc w:val="both"/>
        <w:ind w:firstLine="326"/>
        <w:spacing w:after="0" w:line="274" w:lineRule="auto"/>
        <w:rPr>
          <w:sz w:val="20"/>
          <w:szCs w:val="20"/>
          <w:color w:val="auto"/>
        </w:rPr>
      </w:pPr>
      <w:r>
        <w:rPr>
          <w:rFonts w:ascii="Times New Roman" w:cs="Times New Roman" w:eastAsia="Times New Roman" w:hAnsi="Times New Roman"/>
          <w:sz w:val="13"/>
          <w:szCs w:val="13"/>
          <w:color w:val="auto"/>
        </w:rPr>
        <w:t>Generally, Marshall Islands law provides that the holders of a class of stock of a Marshall Islands corporation are entitled to a separate class vote on any proposed amendment to the relevant articles of incorporation that would change the aggregate number of authorized shares or the par value of that class of shares or alter or change the powers, preferences or special rights of that class so as to affect the class adversely.</w:t>
      </w:r>
    </w:p>
    <w:p>
      <w:pPr>
        <w:spacing w:after="0" w:line="127" w:lineRule="exact"/>
        <w:rPr>
          <w:sz w:val="20"/>
          <w:szCs w:val="20"/>
          <w:color w:val="auto"/>
        </w:rPr>
      </w:pPr>
    </w:p>
    <w:p>
      <w:pPr>
        <w:jc w:val="both"/>
        <w:ind w:firstLine="326"/>
        <w:spacing w:after="0" w:line="265" w:lineRule="auto"/>
        <w:rPr>
          <w:sz w:val="20"/>
          <w:szCs w:val="20"/>
          <w:color w:val="auto"/>
        </w:rPr>
      </w:pPr>
      <w:r>
        <w:rPr>
          <w:rFonts w:ascii="Times New Roman" w:cs="Times New Roman" w:eastAsia="Times New Roman" w:hAnsi="Times New Roman"/>
          <w:sz w:val="13"/>
          <w:szCs w:val="13"/>
          <w:color w:val="auto"/>
        </w:rPr>
        <w:t>The Articles of Incorporation, the Bylaws and the MIBCA do not contain transfer restrictions on our common shares. Common shares that have been entered into the book-entry system of The Depository Trust Company (“</w:t>
      </w:r>
      <w:r>
        <w:rPr>
          <w:rFonts w:ascii="Times New Roman" w:cs="Times New Roman" w:eastAsia="Times New Roman" w:hAnsi="Times New Roman"/>
          <w:sz w:val="13"/>
          <w:szCs w:val="13"/>
          <w:u w:val="single" w:color="auto"/>
          <w:color w:val="auto"/>
        </w:rPr>
        <w:t>DTC</w:t>
      </w:r>
      <w:r>
        <w:rPr>
          <w:rFonts w:ascii="Times New Roman" w:cs="Times New Roman" w:eastAsia="Times New Roman" w:hAnsi="Times New Roman"/>
          <w:sz w:val="13"/>
          <w:szCs w:val="13"/>
          <w:color w:val="auto"/>
        </w:rPr>
        <w:t>”) are registered in the name of Cede &amp; Co., as nominee for DTC, and transfers of beneficial ownership of shares held through DTC will be effected by electronic transfer made by DTC participants. Transfers of shares held outside of DTC in book-entry form through Computershare, our transfer agent and registrar, will be effected by an instrument of transfer. The transfer of certificated shares will be effected by presenting and surrendering the certificates to us or our transfer agent. A valid transfer requires the registered certificates to be properly endorsed for transfer as provided for in the certificates and accompanied by proper instruments of transfer.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Shareholder Meetings</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Annual and special meetings of shareholders will be held at such date, time and place as determined by us. Special meetings of the shareholders (i) may be called at any time by the Board of Directors and</w:t>
      </w:r>
    </w:p>
    <w:p>
      <w:pPr>
        <w:spacing w:after="0" w:line="23" w:lineRule="exact"/>
        <w:rPr>
          <w:sz w:val="20"/>
          <w:szCs w:val="20"/>
          <w:color w:val="auto"/>
        </w:rPr>
      </w:pPr>
    </w:p>
    <w:p>
      <w:pPr>
        <w:jc w:val="both"/>
        <w:spacing w:after="0" w:line="259" w:lineRule="auto"/>
        <w:tabs>
          <w:tab w:leader="none" w:pos="199"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shall be called by our secretary, upon receipt in accordance with our Bylaws of a written request by one or more shareholders who own shares representing at least 25% of the voting power of the outstanding shares entitled to vote on the matter or matters to be brought before the proposed special meeting. The right of shareholders to call a special meeting of the shareholders is limited, to the fullest extent permitted by applicable law, to the calling of special meetings to vote on any matters except for the election of directors to the Board of Directors. Notice of every annual and special meeting of shareholders shall be given not less than 15 nor more than 60 days before such meeting to each registered shareholder entitled to vote at such meeting. Meetings of shareholders may be held in or outside of the Marshall Islands. If so determined by the Board of Directors, to the extent permitted by applicable law, the shareholder meetings may be held by means of remote communication. The Board of Directors may set a record date that is not less than 15 nor more than 60 days before the date of any meeting to determine the shareholders that will be eligible to receive notice and vote at the meeting.</w:t>
      </w:r>
    </w:p>
    <w:p>
      <w:pPr>
        <w:spacing w:after="0" w:line="137" w:lineRule="exact"/>
        <w:rPr>
          <w:sz w:val="20"/>
          <w:szCs w:val="20"/>
          <w:color w:val="auto"/>
        </w:rPr>
      </w:pPr>
    </w:p>
    <w:p>
      <w:pPr>
        <w:jc w:val="both"/>
        <w:ind w:firstLine="326"/>
        <w:spacing w:after="0" w:line="274" w:lineRule="auto"/>
        <w:rPr>
          <w:sz w:val="20"/>
          <w:szCs w:val="20"/>
          <w:color w:val="auto"/>
        </w:rPr>
      </w:pPr>
      <w:r>
        <w:rPr>
          <w:rFonts w:ascii="Times New Roman" w:cs="Times New Roman" w:eastAsia="Times New Roman" w:hAnsi="Times New Roman"/>
          <w:sz w:val="13"/>
          <w:szCs w:val="13"/>
          <w:color w:val="auto"/>
        </w:rPr>
        <w:t>At each meeting of shareholders, except where otherwise provided by applicable law or the Articles of Incorporation, the holders of one-third of the voting power of the outstanding shares entitled to vote at the meeting, present in person or represented by proxy, shall constitute a quorum. When a quorum is once present to organize a meeting, it shall not be broken by the subsequent withdrawal of any shareholders. In the absence of a quorum, the holders of a majority of the voting power of the outstanding shares present at the meeting in person or by proxy may adjourn the meeting.</w:t>
      </w:r>
    </w:p>
    <w:p>
      <w:pPr>
        <w:spacing w:after="0" w:line="127" w:lineRule="exact"/>
        <w:rPr>
          <w:sz w:val="20"/>
          <w:szCs w:val="20"/>
          <w:color w:val="auto"/>
        </w:rPr>
      </w:pPr>
    </w:p>
    <w:p>
      <w:pPr>
        <w:jc w:val="both"/>
        <w:ind w:firstLine="326"/>
        <w:spacing w:after="0" w:line="274" w:lineRule="auto"/>
        <w:rPr>
          <w:sz w:val="20"/>
          <w:szCs w:val="20"/>
          <w:color w:val="auto"/>
        </w:rPr>
      </w:pPr>
      <w:r>
        <w:rPr>
          <w:rFonts w:ascii="Times New Roman" w:cs="Times New Roman" w:eastAsia="Times New Roman" w:hAnsi="Times New Roman"/>
          <w:sz w:val="13"/>
          <w:szCs w:val="13"/>
          <w:color w:val="auto"/>
        </w:rPr>
        <w:t>To the fullest extent permitted by applicable law, any action required or permitted by the MIBCA to be taken at a meeting of shareholders may be taken without a meeting, without prior notice and without a vote, if a consent or consents in writing, setting forth the action so taken, is signed by the holders of outstanding shares having not less than the minimum number of votes that would be necessary to authorize or take such action at a meeting at which all shares entitled to vote thereon were present and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240665</wp:posOffset>
            </wp:positionV>
            <wp:extent cx="7167880"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4" w:right="31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3"/>
          <w:szCs w:val="13"/>
          <w:b w:val="1"/>
          <w:bCs w:val="1"/>
          <w:color w:val="auto"/>
        </w:rPr>
        <w:t>Directors</w:t>
      </w:r>
    </w:p>
    <w:p>
      <w:pPr>
        <w:spacing w:after="0" w:line="172" w:lineRule="exact"/>
        <w:rPr>
          <w:sz w:val="20"/>
          <w:szCs w:val="20"/>
          <w:color w:val="auto"/>
        </w:rPr>
      </w:pPr>
    </w:p>
    <w:p>
      <w:pPr>
        <w:jc w:val="both"/>
        <w:ind w:firstLine="326"/>
        <w:spacing w:after="0" w:line="272" w:lineRule="auto"/>
        <w:rPr>
          <w:sz w:val="20"/>
          <w:szCs w:val="20"/>
          <w:color w:val="auto"/>
        </w:rPr>
      </w:pPr>
      <w:r>
        <w:rPr>
          <w:rFonts w:ascii="Times New Roman" w:cs="Times New Roman" w:eastAsia="Times New Roman" w:hAnsi="Times New Roman"/>
          <w:sz w:val="13"/>
          <w:szCs w:val="13"/>
          <w:color w:val="auto"/>
        </w:rPr>
        <w:t>Our directors will be elected by a majority of the votes cast at a meeting of shareholders at which quorum is present, provided that directors will be elected by the vote of a plurality of the votes cast at a meeting of shareholders at which quorum is present and for which (i) the secretary receives a notice pursuant to the Bylaws that a shareholder intends to nominate a director or directors and (ii) such proposed nomination has not been withdrawn by such shareholder on or prior to the tenth day preceding the date we first mail notice of such meeting to the shareholders. Cumulative voting shall not be used to elect directors.</w:t>
      </w:r>
    </w:p>
    <w:p>
      <w:pPr>
        <w:spacing w:after="0" w:line="290" w:lineRule="exact"/>
        <w:rPr>
          <w:sz w:val="20"/>
          <w:szCs w:val="20"/>
          <w:color w:val="auto"/>
        </w:rPr>
      </w:pPr>
    </w:p>
    <w:p>
      <w:pPr>
        <w:jc w:val="both"/>
        <w:ind w:firstLine="326"/>
        <w:spacing w:after="0" w:line="261" w:lineRule="auto"/>
        <w:rPr>
          <w:sz w:val="20"/>
          <w:szCs w:val="20"/>
          <w:color w:val="auto"/>
        </w:rPr>
      </w:pPr>
      <w:r>
        <w:rPr>
          <w:rFonts w:ascii="Times New Roman" w:cs="Times New Roman" w:eastAsia="Times New Roman" w:hAnsi="Times New Roman"/>
          <w:sz w:val="13"/>
          <w:szCs w:val="13"/>
          <w:color w:val="auto"/>
        </w:rPr>
        <w:t>The Board of Directors shall consist of not fewer than three nor more than 11 directors, as fixed from time to time by the Board of Directors or by the shareholders, but the number of directors shall not be reduced so as to shorten the term of any director at the time in office. Notwithstanding the foregoing, and except as otherwise required by law, whenever the holders of any one or more class or series of preferred shares shall have the right, voting separately as a class, to elect one or more directors, the then authorized number of directors shall be increased by the number of directors to be elected, and the terms of the director or directors elected by such holders shall expire at the next annual meeting of shareholders. The Shareholders’ Agreement provides that for so long as the Capital Parties have the right to nominate at least one nominee to the Board of Directors, the Board of Directors shall consist of eight directors. Pursuant to the Shareholders’ Agreement, until CMTC and its affiliates cease to own at least 25% of the outstanding common shares, CMTC and its affiliates will have the right to nominate three out of the eight directors to the Board of Directors. If the holdings of CMTC and its affiliates fall below 25% but remain above 15% of the outstanding common shares, CMTC and its affiliates thereafter will have the right to nominate two out of eight directors. If the holdings of CMTC and its affiliates fall below 15% but remain above 5% of the outstanding common shares, CTMC and its affiliates thereafter will have the right to nominate one out of eight directors. If the holdings of CMTC and its affiliates fall below 5%, CMTC thereafter will no longer have any rights to nominate directors to the Board of Directors. The remaining members of the Board of Directors will be nominated by the Nominating Committee of the Board of Directors.</w:t>
      </w:r>
    </w:p>
    <w:p>
      <w:pPr>
        <w:spacing w:after="0" w:line="134" w:lineRule="exact"/>
        <w:rPr>
          <w:sz w:val="20"/>
          <w:szCs w:val="20"/>
          <w:color w:val="auto"/>
        </w:rPr>
      </w:pPr>
    </w:p>
    <w:p>
      <w:pPr>
        <w:jc w:val="both"/>
        <w:ind w:firstLine="326"/>
        <w:spacing w:after="0" w:line="293" w:lineRule="auto"/>
        <w:rPr>
          <w:sz w:val="20"/>
          <w:szCs w:val="20"/>
          <w:color w:val="auto"/>
        </w:rPr>
      </w:pPr>
      <w:r>
        <w:rPr>
          <w:rFonts w:ascii="Times New Roman" w:cs="Times New Roman" w:eastAsia="Times New Roman" w:hAnsi="Times New Roman"/>
          <w:sz w:val="13"/>
          <w:szCs w:val="13"/>
          <w:color w:val="auto"/>
        </w:rPr>
        <w:t>Directors elected at each meeting of shareholders shall hold office until the next annual meeting of shareholders, and until their successors are elected and qualified or until their earlier death, resignation, disqualification or removal. The Board of Directors has the authority to fix the compensation of directors.</w:t>
      </w:r>
    </w:p>
    <w:p>
      <w:pPr>
        <w:spacing w:after="0" w:line="114" w:lineRule="exact"/>
        <w:rPr>
          <w:sz w:val="20"/>
          <w:szCs w:val="20"/>
          <w:color w:val="auto"/>
        </w:rPr>
      </w:pPr>
    </w:p>
    <w:p>
      <w:pPr>
        <w:jc w:val="both"/>
        <w:ind w:firstLine="326"/>
        <w:spacing w:after="0" w:line="274" w:lineRule="auto"/>
        <w:rPr>
          <w:sz w:val="20"/>
          <w:szCs w:val="20"/>
          <w:color w:val="auto"/>
        </w:rPr>
      </w:pPr>
      <w:r>
        <w:rPr>
          <w:rFonts w:ascii="Times New Roman" w:cs="Times New Roman" w:eastAsia="Times New Roman" w:hAnsi="Times New Roman"/>
          <w:sz w:val="13"/>
          <w:szCs w:val="13"/>
          <w:color w:val="auto"/>
        </w:rPr>
        <w:t>The Bylaws require shareholders proposing nominations for the election of directors to give us advance notice. This does not apply to the designation of director nominees by the Capital Parties pursuant to the Shareholders’ Agreement. Any director or the entire Board of Directors may be removed, only for cause, by the holders of a majority of the voting power of the shares then entitled to vote at an election of directors. These provisions may discourage, delay or prevent the removal of incumbent directors.</w:t>
      </w:r>
    </w:p>
    <w:p>
      <w:pPr>
        <w:spacing w:after="0" w:line="127" w:lineRule="exact"/>
        <w:rPr>
          <w:sz w:val="20"/>
          <w:szCs w:val="20"/>
          <w:color w:val="auto"/>
        </w:rPr>
      </w:pPr>
    </w:p>
    <w:p>
      <w:pPr>
        <w:jc w:val="both"/>
        <w:ind w:firstLine="326"/>
        <w:spacing w:after="0" w:line="265" w:lineRule="auto"/>
        <w:rPr>
          <w:sz w:val="20"/>
          <w:szCs w:val="20"/>
          <w:color w:val="auto"/>
        </w:rPr>
      </w:pPr>
      <w:r>
        <w:rPr>
          <w:rFonts w:ascii="Times New Roman" w:cs="Times New Roman" w:eastAsia="Times New Roman" w:hAnsi="Times New Roman"/>
          <w:sz w:val="13"/>
          <w:szCs w:val="13"/>
          <w:color w:val="auto"/>
        </w:rPr>
        <w:t>Subject to the terms and preferences of any preferred shares, newly created directorships resulting from an increase in the number of directors and vacancies occurring on the Board of Directors for any reason, whether because of death, resignation, disqualification or any other reason, may be filled by a majority of the directors then in office (provided that the selection of the individual to fill such vacancy shall be made in accordance with the Shareholders’ Agreement so long as the Shareholders’ Agreement remains in effect), although less than a quorum, or by the sole remaining director. A director elected to fill a newly created directorship or a vacancy shall serve for the remainder of the full term of the director whose death, resignation or removal shall have created such vacancy and until his or her successor has been elected and qualified or until his or her earlier death, resignation, disqualification or removal.</w:t>
      </w:r>
    </w:p>
    <w:p>
      <w:pPr>
        <w:spacing w:after="0" w:line="133" w:lineRule="exact"/>
        <w:rPr>
          <w:sz w:val="20"/>
          <w:szCs w:val="20"/>
          <w:color w:val="auto"/>
        </w:rPr>
      </w:pPr>
    </w:p>
    <w:p>
      <w:pPr>
        <w:jc w:val="both"/>
        <w:ind w:firstLine="326"/>
        <w:spacing w:after="0" w:line="262" w:lineRule="auto"/>
        <w:rPr>
          <w:sz w:val="20"/>
          <w:szCs w:val="20"/>
          <w:color w:val="auto"/>
        </w:rPr>
      </w:pPr>
      <w:r>
        <w:rPr>
          <w:rFonts w:ascii="Times New Roman" w:cs="Times New Roman" w:eastAsia="Times New Roman" w:hAnsi="Times New Roman"/>
          <w:sz w:val="13"/>
          <w:szCs w:val="13"/>
          <w:color w:val="auto"/>
        </w:rPr>
        <w:t>The MIBCA provides that no contract or transaction between us and one or more of our directors or officers will be void or voidable solely for the following reason, or solely because the director or officer is present at or participates in the meeting of the board of directors or committee thereof which authorizes the contract or transaction, or solely because his or her or their votes are counted for such purpose, if (1) the material facts as to such director’s interest in such contract or transaction and as to any such common directorship, officership or financial interest are disclosed in good faith or known to the board of directors or committee, and the board of directors or committee approves such contract or transaction by a vote sufficient for such purpose without counting the vote of such interested director, or, if the votes of the disinterested directors are insufficient to constitute an act of the board, by unanimous vote of the disinterested directors; or (2) the material facts as to such director’s interest in such contract or transaction and as to any such common directorship, officership or financial interest are disclosed in good faith or known to the shareholders entitled to vote thereon, and such contract or transaction is approved by vote of such shareholders. See also “Certain Shareholder Relationships”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246380</wp:posOffset>
            </wp:positionV>
            <wp:extent cx="7167880"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4" w:right="31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3"/>
          <w:szCs w:val="13"/>
          <w:b w:val="1"/>
          <w:bCs w:val="1"/>
          <w:color w:val="auto"/>
        </w:rPr>
        <w:t>Dividends</w:t>
      </w:r>
    </w:p>
    <w:p>
      <w:pPr>
        <w:spacing w:after="0" w:line="172" w:lineRule="exact"/>
        <w:rPr>
          <w:sz w:val="20"/>
          <w:szCs w:val="20"/>
          <w:color w:val="auto"/>
        </w:rPr>
      </w:pPr>
    </w:p>
    <w:p>
      <w:pPr>
        <w:jc w:val="both"/>
        <w:ind w:firstLine="326"/>
        <w:spacing w:after="0" w:line="261" w:lineRule="auto"/>
        <w:rPr>
          <w:sz w:val="20"/>
          <w:szCs w:val="20"/>
          <w:color w:val="auto"/>
        </w:rPr>
      </w:pPr>
      <w:r>
        <w:rPr>
          <w:rFonts w:ascii="Times New Roman" w:cs="Times New Roman" w:eastAsia="Times New Roman" w:hAnsi="Times New Roman"/>
          <w:sz w:val="13"/>
          <w:szCs w:val="13"/>
          <w:color w:val="auto"/>
        </w:rPr>
        <w:t>Declaration and payment of any dividend is subject to the discretion of the Board of Directors. Our dividend policy may be changed at any time, and from time to time, by the Board of Directors. The timing and amount of dividend payments to holders of our shares will depend on, among other things, shipping market developments and the charter rates we are able to negotiate when we charter our vessels, our cash earnings, financial condition and cash requirements, and could be affected by a variety of factors, including increased or unanticipated expenses, the loss of a vessel, required capital expenditures, reserves established by the Board of Directors, refinancing or repayment of debt, additional borrowings, compliance with the covenants in our financing arrangements, our anticipated future cost of capital, access to financing and equity and debt capital markets, including for the purposes of refinancing or repaying existing debt, asset valuations, other factors described in our filings with the Securities and Exchange Commission (the “</w:t>
      </w:r>
      <w:r>
        <w:rPr>
          <w:rFonts w:ascii="Times New Roman" w:cs="Times New Roman" w:eastAsia="Times New Roman" w:hAnsi="Times New Roman"/>
          <w:sz w:val="13"/>
          <w:szCs w:val="13"/>
          <w:u w:val="single" w:color="auto"/>
          <w:color w:val="auto"/>
        </w:rPr>
        <w:t>SEC</w:t>
      </w:r>
      <w:r>
        <w:rPr>
          <w:rFonts w:ascii="Times New Roman" w:cs="Times New Roman" w:eastAsia="Times New Roman" w:hAnsi="Times New Roman"/>
          <w:sz w:val="13"/>
          <w:szCs w:val="13"/>
          <w:color w:val="auto"/>
        </w:rPr>
        <w:t>”) from time to time and the applicable provisions of Marshall Islands law. The MIBCA generally prohibits the payment of dividends other than from surplus (but in case there is no surplus, dividends may be declared or paid out of the net profits for the fiscal year in which the dividend is declared and for the preceding fiscal year) or while we are insolvent or if we would be rendered insolvent upon paying the dividend, or if the declaration or payment would be contrary to any restrictions contained in the Articles of Incorporation. In light of the factors described above and elsewhere in our filings with the SEC, there can be no assurance that we will pay any dividends on our shares.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Shareholders’ Derivative Actions</w:t>
      </w:r>
    </w:p>
    <w:p>
      <w:pPr>
        <w:spacing w:after="0" w:line="172" w:lineRule="exact"/>
        <w:rPr>
          <w:sz w:val="20"/>
          <w:szCs w:val="20"/>
          <w:color w:val="auto"/>
        </w:rPr>
      </w:pPr>
    </w:p>
    <w:p>
      <w:pPr>
        <w:jc w:val="both"/>
        <w:ind w:firstLine="326"/>
        <w:spacing w:after="0" w:line="274" w:lineRule="auto"/>
        <w:rPr>
          <w:sz w:val="20"/>
          <w:szCs w:val="20"/>
          <w:color w:val="auto"/>
        </w:rPr>
      </w:pPr>
      <w:r>
        <w:rPr>
          <w:rFonts w:ascii="Times New Roman" w:cs="Times New Roman" w:eastAsia="Times New Roman" w:hAnsi="Times New Roman"/>
          <w:sz w:val="13"/>
          <w:szCs w:val="13"/>
          <w:color w:val="auto"/>
        </w:rPr>
        <w:t>Under the MIBCA, any of our shareholders may bring an action in our name to procure a judgment in our favor, also known as a derivative action, provided that the shareholder bringing the action is a shareholder or a holder of a beneficial interest of shares both at the time the derivative action is brought and at the time of the transaction to which the action relates, or that the shares or such holder’s interest therein devolved upon such holder by operation of law.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Dissenters’ Rights of Appraisal and Payment</w:t>
      </w:r>
    </w:p>
    <w:p>
      <w:pPr>
        <w:spacing w:after="0" w:line="172" w:lineRule="exact"/>
        <w:rPr>
          <w:sz w:val="20"/>
          <w:szCs w:val="20"/>
          <w:color w:val="auto"/>
        </w:rPr>
      </w:pPr>
    </w:p>
    <w:p>
      <w:pPr>
        <w:jc w:val="both"/>
        <w:ind w:firstLine="326"/>
        <w:spacing w:after="0" w:line="261" w:lineRule="auto"/>
        <w:rPr>
          <w:sz w:val="20"/>
          <w:szCs w:val="20"/>
          <w:color w:val="auto"/>
        </w:rPr>
      </w:pPr>
      <w:r>
        <w:rPr>
          <w:rFonts w:ascii="Times New Roman" w:cs="Times New Roman" w:eastAsia="Times New Roman" w:hAnsi="Times New Roman"/>
          <w:sz w:val="13"/>
          <w:szCs w:val="13"/>
          <w:color w:val="auto"/>
        </w:rPr>
        <w:t>Under the MIBCA, our shareholders have the right to dissent from various corporate actions, including mergers or consolidations or sales of all or substantially all of our assets not made in the usual and regular course of our business, and receive payment of the fair value of their shares, in each case subject to exceptions. For example, the right of a dissenting shareholder to receive payment of the fair value of its shares is not available for the shares of any class or series of shares, which shares at the record date fixed to determine the shareholders entitled to receive notice of and to vote at the meeting of shareholders to act upon the agreement of merger or consolidation or any sale or exchange of all or substantially all of the property and assets of the corporation not made in the usual course of its business, were either (i) listed on a securities exchange or admitted for trading on an interdealer quotation system or (ii) held of record by more than 2,000 holders. In the event of any amendment of the Articles of Incorporation, a shareholder also has the right to dissent and receive payment for their shares if the amendment alters certain rights in respect of those shares. The dissenting shareholder must follow the procedures set forth in the MIBCA to receive payment. In the event that we and any dissenting shareholder fail to agree on a price for the shares, the MIBCA procedures involve, among other things, the institution of proceedings in the High Court of the Republic of the Marshall Islands or in any appropriate court in any jurisdiction in which our shares are primarily traded on a local or national securities exchange. The value of the shares of the dissenting shareholder is fixed by the court after reference, if the court so elects, to the recommendations of a court-appointed appraiser.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7167880"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4" w:right="31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3"/>
          <w:szCs w:val="13"/>
          <w:b w:val="1"/>
          <w:bCs w:val="1"/>
          <w:color w:val="auto"/>
        </w:rPr>
        <w:t>Limitations on Liability and Indemnification of Directors and Officers</w:t>
      </w:r>
    </w:p>
    <w:p>
      <w:pPr>
        <w:spacing w:after="0" w:line="172" w:lineRule="exact"/>
        <w:rPr>
          <w:sz w:val="20"/>
          <w:szCs w:val="20"/>
          <w:color w:val="auto"/>
        </w:rPr>
      </w:pPr>
    </w:p>
    <w:p>
      <w:pPr>
        <w:jc w:val="both"/>
        <w:ind w:firstLine="326"/>
        <w:spacing w:after="0" w:line="267" w:lineRule="auto"/>
        <w:rPr>
          <w:sz w:val="20"/>
          <w:szCs w:val="20"/>
          <w:color w:val="auto"/>
        </w:rPr>
      </w:pPr>
      <w:r>
        <w:rPr>
          <w:rFonts w:ascii="Times New Roman" w:cs="Times New Roman" w:eastAsia="Times New Roman" w:hAnsi="Times New Roman"/>
          <w:sz w:val="13"/>
          <w:szCs w:val="13"/>
          <w:color w:val="auto"/>
        </w:rPr>
        <w:t>The MIBCA authorized corporations to, in their articles of incorporation, limit or eliminate personal liability of directors to corporations or their shareholders for monetary damages for breaches of directors’ fiduciary duties; provided that such provision shall not eliminate or limit the liability of a director: (i) for any breach of the director’s duty of loyalty to the corporation or its shareholders; (ii) for acts or omissions not undertaken in good faith or which involve intentional misconduct or a knowing violation of law; or (iii) for any transaction from which the director derived an improper personal benefit. The Articles of Incorporation include provisions that eliminate the personal liability of directors and officers for monetary damages for breach of fiduciary duties as directors or officers, as applicable, to the fullest extent permitted by the MIBCA.</w:t>
      </w:r>
    </w:p>
    <w:p>
      <w:pPr>
        <w:spacing w:after="0" w:line="293" w:lineRule="exact"/>
        <w:rPr>
          <w:sz w:val="20"/>
          <w:szCs w:val="20"/>
          <w:color w:val="auto"/>
        </w:rPr>
      </w:pPr>
    </w:p>
    <w:p>
      <w:pPr>
        <w:jc w:val="both"/>
        <w:ind w:firstLine="326"/>
        <w:spacing w:after="0" w:line="265" w:lineRule="auto"/>
        <w:rPr>
          <w:sz w:val="20"/>
          <w:szCs w:val="20"/>
          <w:color w:val="auto"/>
        </w:rPr>
      </w:pPr>
      <w:r>
        <w:rPr>
          <w:rFonts w:ascii="Times New Roman" w:cs="Times New Roman" w:eastAsia="Times New Roman" w:hAnsi="Times New Roman"/>
          <w:sz w:val="13"/>
          <w:szCs w:val="13"/>
          <w:color w:val="auto"/>
        </w:rPr>
        <w:t>The Bylaws provide for the indemnification of any person who is a party or is threatened to be made a party to legal proceeding (other than an action by or in the right of the Company) because such person is or was a director or officers of ours, or is or was serving at our request as a director or officer of another entity, if such person acted in good faith and in a manner he or she reasonably believed to be in or not opposed to our best interests and, with respect to any criminal action or proceeding, had no reasonable cause to believe that his or her conduct was unlawful. The rights of indemnification and advancement set forth in the Bylaws are not exclusive of any other rights to which an indemnitee may be entitled. The Bylaws also authorize us to purchase and maintain insurance on behalf of any person who is or was our director or officer or is or was serving at our request as a director or officer of another entity.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Certain Shareholder Relationships</w:t>
      </w:r>
    </w:p>
    <w:p>
      <w:pPr>
        <w:spacing w:after="0" w:line="172" w:lineRule="exact"/>
        <w:rPr>
          <w:sz w:val="20"/>
          <w:szCs w:val="20"/>
          <w:color w:val="auto"/>
        </w:rPr>
      </w:pPr>
    </w:p>
    <w:p>
      <w:pPr>
        <w:jc w:val="both"/>
        <w:ind w:firstLine="326"/>
        <w:spacing w:after="0" w:line="260" w:lineRule="auto"/>
        <w:rPr>
          <w:sz w:val="20"/>
          <w:szCs w:val="20"/>
          <w:color w:val="auto"/>
        </w:rPr>
      </w:pPr>
      <w:r>
        <w:rPr>
          <w:rFonts w:ascii="Times New Roman" w:cs="Times New Roman" w:eastAsia="Times New Roman" w:hAnsi="Times New Roman"/>
          <w:sz w:val="13"/>
          <w:szCs w:val="13"/>
          <w:color w:val="auto"/>
        </w:rPr>
        <w:t>In the Articles of Incorporation we renounced, to the fullest extent permitted by law, any interest or expectancy in, or right to be offered an opportunity to participate in, any business opportunity which may be a corporate opportunity for CMTC or any of its affiliates (the “</w:t>
      </w:r>
      <w:r>
        <w:rPr>
          <w:rFonts w:ascii="Times New Roman" w:cs="Times New Roman" w:eastAsia="Times New Roman" w:hAnsi="Times New Roman"/>
          <w:sz w:val="13"/>
          <w:szCs w:val="13"/>
          <w:u w:val="single" w:color="auto"/>
          <w:color w:val="auto"/>
        </w:rPr>
        <w:t>Identified Persons</w:t>
      </w:r>
      <w:r>
        <w:rPr>
          <w:rFonts w:ascii="Times New Roman" w:cs="Times New Roman" w:eastAsia="Times New Roman" w:hAnsi="Times New Roman"/>
          <w:sz w:val="13"/>
          <w:szCs w:val="13"/>
          <w:color w:val="auto"/>
        </w:rPr>
        <w:t>”) and us or our affiliates. No Identified Person has any duty to refrain from directly or indirectly (a) engaging in the same or similar business activities or lines of business in which we or our affiliates engage or propose to engage, or (b) otherwise competing with us or our affiliates, and, to the fullest extent permitted by law, no Identified Person shall be liable to us or our shareholders or to any of our affiliates for breach of any fiduciary duty solely because such Identified Person engages in any such activities. In the event that any Identified Person acquires knowledge of a potential transaction or other business opportunity which may be a corporate opportunity for such Identified Person and us or our affiliates, such Identified Person, to the fullest extent permitted by law, has no duty to communicate or offer such transaction or business opportunity to us or our affiliates and, to the fullest extent permitted by law, shall not be liable to us or our shareholders or to any of our affiliates for breach of any fiduciary duty as a shareholder, director or officer of ours because such Identified Person pursues or acquires such corporate opportunity for themselves, or offers or directs such corporate opportunity to another person. We did not renounce our interest in any corporate opportunity (a) offered to any Identified Person if (i) such opportunity is expressly offered to such Identified Person solely in their capacity as a director or officer of ours, (ii) such Identified Person believed that we possessed, or would reasonably be expected to be able to possess, the resources necessary to exploit such opportunity and (iii) we or our subsidiaries are directly engaged in such business at the time such opportunity is offered to such Identified Person or (b) required to be offered to the us pursuant to Section 3.7 of the Umbrella Agreement dated as November 13, 2023 among us, CMTC and Capital GP.</w:t>
      </w:r>
    </w:p>
    <w:p>
      <w:pPr>
        <w:spacing w:after="0" w:line="135" w:lineRule="exact"/>
        <w:rPr>
          <w:sz w:val="20"/>
          <w:szCs w:val="20"/>
          <w:color w:val="auto"/>
        </w:rPr>
      </w:pPr>
    </w:p>
    <w:p>
      <w:pPr>
        <w:jc w:val="both"/>
        <w:ind w:firstLine="326"/>
        <w:spacing w:after="0" w:line="261" w:lineRule="auto"/>
        <w:rPr>
          <w:sz w:val="20"/>
          <w:szCs w:val="20"/>
          <w:color w:val="auto"/>
        </w:rPr>
      </w:pPr>
      <w:r>
        <w:rPr>
          <w:rFonts w:ascii="Times New Roman" w:cs="Times New Roman" w:eastAsia="Times New Roman" w:hAnsi="Times New Roman"/>
          <w:sz w:val="13"/>
          <w:szCs w:val="13"/>
          <w:color w:val="auto"/>
        </w:rPr>
        <w:t>The Articles of Incorporation also provide that no contract, agreement, arrangement or transaction entered into between us and/or any of our subsidiaries, on the one hand, and an Identified Person, on the other hand, before the Conversion shall be void or voidable or be considered unfair to us or any of our subsidiaries solely because such Identified Person is a party thereto, or because any directors, officers or employees of such Identified Person were present at or participated in any meeting of the Board of Directors, or a committee thereof, or the board of directors, or committee thereof, of any of our subsidiaries, that authorized the contract, agreement, arrangement or transaction, or because such Identified Person’s votes were counted for such purpose. We and our subsidiaries may from time to time enter into and perform contracts, agreements, arrangements or transactions with an Identified Person. To the fullest extent permitted by law, no such contract, agreement, arrangement or transaction, nor the performance thereof by us or our subsidiaries or an Identified Person, shall be considered contrary to any fiduciary duty owed to us, any of our subsidiaries or to any of our or our subsidiaries’ stockholders by any director or officer so long as such contract, agreement, arrangement or transaction, in addition to any requirements under applicable law, is (i) approved by a majority of the members of a committee of the Board of Directors comprised solely of independent directors, (ii) approved by the vote of holders of a majority of the outstanding common shares (excluding common shares owned by the Identified Persons), (iii) on terms no less favorable to us or our subsidiary, as applicable, than those generally being provided to or available from unrelated third parties or (iv) fair to us, taking into account the totality of the relationships between the parties involved.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7167880"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4" w:right="31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3"/>
          <w:szCs w:val="13"/>
          <w:b w:val="1"/>
          <w:bCs w:val="1"/>
          <w:color w:val="auto"/>
        </w:rPr>
        <w:t>Business Combinations with Interested Shareholders</w:t>
      </w:r>
    </w:p>
    <w:p>
      <w:pPr>
        <w:spacing w:after="0" w:line="172" w:lineRule="exact"/>
        <w:rPr>
          <w:sz w:val="20"/>
          <w:szCs w:val="20"/>
          <w:color w:val="auto"/>
        </w:rPr>
      </w:pPr>
    </w:p>
    <w:p>
      <w:pPr>
        <w:ind w:firstLine="326"/>
        <w:spacing w:after="0" w:line="293" w:lineRule="auto"/>
        <w:rPr>
          <w:sz w:val="20"/>
          <w:szCs w:val="20"/>
          <w:color w:val="auto"/>
        </w:rPr>
      </w:pPr>
      <w:r>
        <w:rPr>
          <w:rFonts w:ascii="Times New Roman" w:cs="Times New Roman" w:eastAsia="Times New Roman" w:hAnsi="Times New Roman"/>
          <w:sz w:val="13"/>
          <w:szCs w:val="13"/>
          <w:color w:val="auto"/>
        </w:rPr>
        <w:t>The Articles of Incorporation include provisions which prohibit us from engaging in a business combination with an interested shareholder for a period of three years following the time such shareholder became an interested shareholder, unless:</w:t>
      </w:r>
    </w:p>
    <w:p>
      <w:pPr>
        <w:spacing w:after="0" w:line="114" w:lineRule="exact"/>
        <w:rPr>
          <w:sz w:val="20"/>
          <w:szCs w:val="20"/>
          <w:color w:val="auto"/>
        </w:rPr>
      </w:pPr>
    </w:p>
    <w:p>
      <w:pPr>
        <w:ind w:left="1000" w:hanging="441"/>
        <w:spacing w:after="0"/>
        <w:tabs>
          <w:tab w:leader="none" w:pos="1000"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such time, the Board of Directors approved either the business combination or the transaction which resulted in the shareholder becoming an interested shareholder;</w:t>
      </w:r>
    </w:p>
    <w:p>
      <w:pPr>
        <w:spacing w:after="0" w:line="169" w:lineRule="exact"/>
        <w:rPr>
          <w:rFonts w:ascii="Times New Roman" w:cs="Times New Roman" w:eastAsia="Times New Roman" w:hAnsi="Times New Roman"/>
          <w:sz w:val="13"/>
          <w:szCs w:val="13"/>
          <w:color w:val="auto"/>
        </w:rPr>
      </w:pPr>
    </w:p>
    <w:p>
      <w:pPr>
        <w:ind w:left="1000" w:right="140" w:hanging="441"/>
        <w:spacing w:after="0" w:line="293" w:lineRule="auto"/>
        <w:tabs>
          <w:tab w:leader="none" w:pos="1000"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consummation of the transaction which resulted in the shareholder becoming an interested shareholder, the interested shareholder owned at least 85% of our shares entitled to vote in the election of directors outstanding at the time the transaction commenced; or</w:t>
      </w:r>
    </w:p>
    <w:p>
      <w:pPr>
        <w:spacing w:after="0" w:line="114" w:lineRule="exact"/>
        <w:rPr>
          <w:rFonts w:ascii="Times New Roman" w:cs="Times New Roman" w:eastAsia="Times New Roman" w:hAnsi="Times New Roman"/>
          <w:sz w:val="13"/>
          <w:szCs w:val="13"/>
          <w:color w:val="auto"/>
        </w:rPr>
      </w:pPr>
    </w:p>
    <w:p>
      <w:pPr>
        <w:ind w:left="1000" w:right="80" w:hanging="441"/>
        <w:spacing w:after="0" w:line="293" w:lineRule="auto"/>
        <w:tabs>
          <w:tab w:leader="none" w:pos="1000"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or subsequent to such time the business combination is approved by the Board of Directors and authorized at an annual or special meeting of shareholders, and not by written consent, by the affirmative vote of at least 66-2⁄3% of the outstanding shares entitled to vote in the election of directors which are not owned by the interested shareholder, its affiliates or its associates.</w:t>
      </w:r>
    </w:p>
    <w:p>
      <w:pPr>
        <w:spacing w:after="0" w:line="114" w:lineRule="exact"/>
        <w:rPr>
          <w:sz w:val="20"/>
          <w:szCs w:val="20"/>
          <w:color w:val="auto"/>
        </w:rPr>
      </w:pPr>
    </w:p>
    <w:p>
      <w:pPr>
        <w:jc w:val="both"/>
        <w:ind w:firstLine="326"/>
        <w:spacing w:after="0" w:line="262" w:lineRule="auto"/>
        <w:rPr>
          <w:sz w:val="20"/>
          <w:szCs w:val="20"/>
          <w:color w:val="auto"/>
        </w:rPr>
      </w:pPr>
      <w:r>
        <w:rPr>
          <w:rFonts w:ascii="Times New Roman" w:cs="Times New Roman" w:eastAsia="Times New Roman" w:hAnsi="Times New Roman"/>
          <w:sz w:val="13"/>
          <w:szCs w:val="13"/>
          <w:color w:val="auto"/>
        </w:rPr>
        <w:t>For purposes of these provisions, an “interested shareholder” means any person (other than us and our subsidiaries) that (i) is the owner of 15% or more of our shares entitled to vote in the election of directors, or (ii) is our affiliate or associate and was the owner of 15% or more of our outstanding shares entitled to vote in the election of directors at any time within the three year period immediately prior to the date on which it is sought to be determined whether such person is an interested shareholder, and the affiliates and associates of such person. The term “interested shareholder” shall not include (A) any person, and its affiliates and associates, that together with its affiliates and associates (excluding us and our subsidiaries) owned shares in excess of the 15% limitation on the effective date of the Conversion for so long as such person, together with its affiliates and associates continues to own 15% or more of the our outstanding shares entitled to vote in the election of directors; or (B) any person whose ownership of shares in excess of the 15% limitation is the result of action taken solely by us; provided that such person specified in clause (B) shall be an interested shareholder if thereafter such person acquires additional shares entitled to vote in the election of directors, except as a result of further corporate action not caused, directly or indirectly, by such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Requirement to Provide Information</w:t>
      </w:r>
    </w:p>
    <w:p>
      <w:pPr>
        <w:spacing w:after="0" w:line="172" w:lineRule="exact"/>
        <w:rPr>
          <w:sz w:val="20"/>
          <w:szCs w:val="20"/>
          <w:color w:val="auto"/>
        </w:rPr>
      </w:pPr>
    </w:p>
    <w:p>
      <w:pPr>
        <w:jc w:val="both"/>
        <w:ind w:firstLine="326"/>
        <w:spacing w:after="0" w:line="293" w:lineRule="auto"/>
        <w:rPr>
          <w:sz w:val="20"/>
          <w:szCs w:val="20"/>
          <w:color w:val="auto"/>
        </w:rPr>
      </w:pPr>
      <w:r>
        <w:rPr>
          <w:rFonts w:ascii="Times New Roman" w:cs="Times New Roman" w:eastAsia="Times New Roman" w:hAnsi="Times New Roman"/>
          <w:sz w:val="13"/>
          <w:szCs w:val="13"/>
          <w:color w:val="auto"/>
        </w:rPr>
        <w:t>The Articles of Incorporation require shareholders to provide to us such information as we may request in order to determine our status as exempt from taxation on gross income from the international operation of a ship or ships within the meaning of Section 883 of the U.S. Internal Revenue Code of 1986, as amended.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Certain Marshall Islands Company Considerations</w:t>
      </w:r>
    </w:p>
    <w:p>
      <w:pPr>
        <w:spacing w:after="0" w:line="172" w:lineRule="exact"/>
        <w:rPr>
          <w:sz w:val="20"/>
          <w:szCs w:val="20"/>
          <w:color w:val="auto"/>
        </w:rPr>
      </w:pPr>
    </w:p>
    <w:p>
      <w:pPr>
        <w:jc w:val="both"/>
        <w:ind w:firstLine="326"/>
        <w:spacing w:after="0" w:line="261" w:lineRule="auto"/>
        <w:rPr>
          <w:sz w:val="20"/>
          <w:szCs w:val="20"/>
          <w:color w:val="auto"/>
        </w:rPr>
      </w:pPr>
      <w:r>
        <w:rPr>
          <w:rFonts w:ascii="Times New Roman" w:cs="Times New Roman" w:eastAsia="Times New Roman" w:hAnsi="Times New Roman"/>
          <w:sz w:val="13"/>
          <w:szCs w:val="13"/>
          <w:color w:val="auto"/>
        </w:rPr>
        <w:t>Our corporate affairs are governed by the Articles of Incorporation, the Bylaws and the MIBCA. The provisions of the MIBCA resemble provisions of the corporation laws of a number of states in the United States, including Delaware. While the MIBCA also provides that, for non-resident corporations such as us, it is to be applied and construed to make the MIBCA uniform with the laws of the State of Delaware and other states with substantially similar legislative provisions (and adopts their case law to the extent they do not conflict with the MIBCA), there have been few court cases interpreting the MIBCA in the Marshall Islands, and we cannot predict whether Marshall Islands courts would reach the same conclusions as Delaware or other courts in the United States. Accordingly, you may have more difficulty in protecting your interests under Marshall Islands law in the face of actions by our management, directors or controlling shareholders than would shareholders of a corporation incorporated in a U.S. jurisdiction that has developed a substantial body of case law. Furthermore, the Marshall Islands lacks a bankruptcy statute, and in the event of any bankruptcy, insolvency, liquidation, dissolution, reorganization or similar proceeding involving the Company, the bankruptcy laws of the United States or of another country having jurisdiction over us would apply. The following table provides a comparison between certain statutory provisions of the MIBCA and the Delaware General Corporation Law relating to shareholders’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7167880"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4" w:right="319" w:bottom="1440" w:gutter="0" w:footer="0" w:header="0"/>
        </w:sectPr>
      </w:pPr>
    </w:p>
    <w:bookmarkStart w:id="182" w:name="page183"/>
    <w:bookmarkEnd w:id="182"/>
    <w:p>
      <w:pPr>
        <w:spacing w:after="0"/>
        <w:tabs>
          <w:tab w:leader="none" w:pos="8300" w:val="left"/>
        </w:tabs>
        <w:rPr>
          <w:sz w:val="20"/>
          <w:szCs w:val="20"/>
          <w:color w:val="auto"/>
        </w:rPr>
      </w:pPr>
      <w:r>
        <w:rPr>
          <w:rFonts w:ascii="Times New Roman" w:cs="Times New Roman" w:eastAsia="Times New Roman" w:hAnsi="Times New Roman"/>
          <w:sz w:val="13"/>
          <w:szCs w:val="13"/>
          <w:b w:val="1"/>
          <w:bCs w:val="1"/>
          <w:color w:val="auto"/>
        </w:rPr>
        <w:t>Marshall Islands</w:t>
      </w:r>
      <w:r>
        <w:rPr>
          <w:sz w:val="20"/>
          <w:szCs w:val="20"/>
          <w:color w:val="auto"/>
        </w:rPr>
        <w:tab/>
      </w:r>
      <w:r>
        <w:rPr>
          <w:rFonts w:ascii="Times New Roman" w:cs="Times New Roman" w:eastAsia="Times New Roman" w:hAnsi="Times New Roman"/>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3656965"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6">
                      <a:extLst>
                        <a:ext uri="{28A0092B-C50C-407E-A947-70E740481C1C}"/>
                      </a:extLst>
                    </a:blip>
                    <a:srcRect/>
                    <a:stretch>
                      <a:fillRect/>
                    </a:stretch>
                  </pic:blipFill>
                  <pic:spPr bwMode="auto">
                    <a:xfrm>
                      <a:off x="0" y="0"/>
                      <a:ext cx="3656965" cy="6350"/>
                    </a:xfrm>
                    <a:prstGeom prst="rect">
                      <a:avLst/>
                    </a:prstGeom>
                    <a:noFill/>
                  </pic:spPr>
                </pic:pic>
              </a:graphicData>
            </a:graphic>
          </wp:anchor>
        </w:drawing>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Shareholder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3733165</wp:posOffset>
            </wp:positionH>
            <wp:positionV relativeFrom="paragraph">
              <wp:posOffset>-88265</wp:posOffset>
            </wp:positionV>
            <wp:extent cx="3435350"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7">
                      <a:extLst>
                        <a:ext uri="{28A0092B-C50C-407E-A947-70E740481C1C}"/>
                      </a:extLst>
                    </a:blip>
                    <a:srcRect/>
                    <a:stretch>
                      <a:fillRect/>
                    </a:stretch>
                  </pic:blipFill>
                  <pic:spPr bwMode="auto">
                    <a:xfrm>
                      <a:off x="0" y="0"/>
                      <a:ext cx="3435350" cy="6350"/>
                    </a:xfrm>
                    <a:prstGeom prst="rect">
                      <a:avLst/>
                    </a:prstGeom>
                    <a:noFill/>
                  </pic:spPr>
                </pic:pic>
              </a:graphicData>
            </a:graphic>
          </wp:anchor>
        </w:drawing>
      </w:r>
    </w:p>
    <w:p>
      <w:pPr>
        <w:sectPr>
          <w:pgSz w:w="11900" w:h="16838" w:orient="portrait"/>
          <w:cols w:equalWidth="0" w:num="1">
            <w:col w:w="11280"/>
          </w:cols>
          <w:pgMar w:left="300" w:top="943" w:right="319" w:bottom="1440" w:gutter="0" w:footer="0" w:header="0"/>
        </w:sectPr>
      </w:pPr>
    </w:p>
    <w:p>
      <w:pPr>
        <w:spacing w:after="0" w:line="16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Held at a place as designated in the bylaws. An annual meeting of shareholders shall be held for the election of directors on a date and at a time designated by or in the manner provided in the bylaws.</w:t>
      </w:r>
    </w:p>
    <w:p>
      <w:pPr>
        <w:spacing w:after="0" w:line="11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Special meetings of the shareholders may be called by the board of directors or by such person or persons as may be authorized by the articles of incorporation or by the bylaws.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May be held in or outside of the Marshall Islands.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Notice</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9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Whenever shareholders are required or permitted to take any action at a meeting, written notice shall state the place, date and hour of the meeting and, unless it is an annual meeting, indicate that it is being issued by or at the direction of the person calling the meeting.</w:t>
      </w:r>
    </w:p>
    <w:p>
      <w:pPr>
        <w:spacing w:after="0" w:line="1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A copy of the notice of any meeting shall be given personally or sent by mail or by electronic transmission not less than 15 nor more than 60 days before the date of the meeting. If sent by electronic transmission, notice given shall be deemed given when directed to a number or electronic mail address at which the registered shareholder has consented to receive notice.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May be held at such time or place as designated in the certificate of incorporation or the bylaws, or if not so designated, as determined by the board of directors.</w:t>
      </w:r>
    </w:p>
    <w:p>
      <w:pPr>
        <w:spacing w:after="0" w:line="11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Special meetings of the shareholders may be called by the board of directors or by such person or persons as may be authorized by the certificate of incorporation or by the bylaws.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May be held in or outside of Delaware.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Notice</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9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Whenever shareholders are required to take any action at a meeting, a written notice of the meeting shall be given which shall state the place, if any, date and hour of the meeting, and the means of remote communication, if any.</w:t>
      </w:r>
    </w:p>
    <w:p>
      <w:pPr>
        <w:spacing w:after="0" w:line="1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Written notice shall be given to each stockholder entitled to vote at such meeting as of the record date for determining the stockholders entitled to notice of the meeting not less than 10 nor more than 60 days before the meeting.</w:t>
      </w:r>
    </w:p>
    <w:p>
      <w:pPr>
        <w:spacing w:after="0" w:line="284" w:lineRule="exact"/>
        <w:rPr>
          <w:sz w:val="20"/>
          <w:szCs w:val="20"/>
          <w:color w:val="auto"/>
        </w:rPr>
      </w:pPr>
    </w:p>
    <w:p>
      <w:pPr>
        <w:sectPr>
          <w:pgSz w:w="11900" w:h="16838" w:orient="portrait"/>
          <w:cols w:equalWidth="0" w:num="2">
            <w:col w:w="5760" w:space="120"/>
            <w:col w:w="5400"/>
          </w:cols>
          <w:pgMar w:left="300" w:top="943"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Shareholders’ Voting Rights</w:t>
      </w:r>
    </w:p>
    <w:p>
      <w:pPr>
        <w:sectPr>
          <w:pgSz w:w="11900" w:h="16838" w:orient="portrait"/>
          <w:cols w:equalWidth="0" w:num="1">
            <w:col w:w="11280"/>
          </w:cols>
          <w:pgMar w:left="300" w:top="943" w:right="319" w:bottom="1440" w:gutter="0" w:footer="0" w:header="0"/>
          <w:type w:val="continuous"/>
        </w:sectPr>
      </w:pP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3"/>
          <w:szCs w:val="13"/>
          <w:color w:val="auto"/>
        </w:rPr>
        <w:t>Unless otherwise provided in the articles of incorporation, any action required by the MIBCA to be taken at a meeting of shareholders or any action which may be taken at a meeting of the shareholders may be taken without a meeting if a consent or consents in writing, setting forth the action so taken, shall be signed by all the shareholders entitled to vote with respect to the subject matter thereof, or if the articles of incorporation so provide, by the holders of outstanding shares having not less than the minimum number of votes that would be necessary to authorize or take such action at a meeting at which all shares entitled to vote thereon were present and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246380</wp:posOffset>
            </wp:positionV>
            <wp:extent cx="7167880"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Any action required to be taken by a meeting of shareholders may be taken without a meeting if a consent for such action is in writing and is signed by shareholders having not less than the minimum number of votes that would be necessary to authorize or take such action at a meeting at which all shares entitled to vote thereon were present and voted.</w:t>
      </w:r>
    </w:p>
    <w:p>
      <w:pPr>
        <w:sectPr>
          <w:pgSz w:w="11900" w:h="16838" w:orient="portrait"/>
          <w:cols w:equalWidth="0" w:num="2">
            <w:col w:w="5760" w:space="120"/>
            <w:col w:w="5400"/>
          </w:cols>
          <w:pgMar w:left="300" w:top="943" w:right="319" w:bottom="1440" w:gutter="0" w:footer="0" w:header="0"/>
          <w:type w:val="continuous"/>
        </w:sectPr>
      </w:pPr>
    </w:p>
    <w:bookmarkStart w:id="183" w:name="page184"/>
    <w:bookmarkEnd w:id="183"/>
    <w:p>
      <w:pPr>
        <w:spacing w:after="0"/>
        <w:tabs>
          <w:tab w:leader="none" w:pos="8340" w:val="left"/>
        </w:tabs>
        <w:rPr>
          <w:sz w:val="20"/>
          <w:szCs w:val="20"/>
          <w:color w:val="auto"/>
        </w:rPr>
      </w:pPr>
      <w:r>
        <w:rPr>
          <w:rFonts w:ascii="Times New Roman" w:cs="Times New Roman" w:eastAsia="Times New Roman" w:hAnsi="Times New Roman"/>
          <w:sz w:val="13"/>
          <w:szCs w:val="13"/>
          <w:b w:val="1"/>
          <w:bCs w:val="1"/>
          <w:color w:val="auto"/>
        </w:rPr>
        <w:t>Marshall Islands</w:t>
      </w:r>
      <w:r>
        <w:rPr>
          <w:sz w:val="20"/>
          <w:szCs w:val="20"/>
          <w:color w:val="auto"/>
        </w:rPr>
        <w:tab/>
      </w:r>
      <w:r>
        <w:rPr>
          <w:rFonts w:ascii="Times New Roman" w:cs="Times New Roman" w:eastAsia="Times New Roman" w:hAnsi="Times New Roman"/>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67880" cy="127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9">
                      <a:extLst>
                        <a:ext uri="{28A0092B-C50C-407E-A947-70E740481C1C}"/>
                      </a:extLst>
                    </a:blip>
                    <a:srcRect/>
                    <a:stretch>
                      <a:fillRect/>
                    </a:stretch>
                  </pic:blipFill>
                  <pic:spPr bwMode="auto">
                    <a:xfrm>
                      <a:off x="0" y="0"/>
                      <a:ext cx="7167880" cy="12700"/>
                    </a:xfrm>
                    <a:prstGeom prst="rect">
                      <a:avLst/>
                    </a:prstGeom>
                    <a:noFill/>
                  </pic:spPr>
                </pic:pic>
              </a:graphicData>
            </a:graphic>
          </wp:anchor>
        </w:drawing>
      </w:r>
    </w:p>
    <w:p>
      <w:pPr>
        <w:sectPr>
          <w:pgSz w:w="11900" w:h="16838" w:orient="portrait"/>
          <w:cols w:equalWidth="0" w:num="1">
            <w:col w:w="11280"/>
          </w:cols>
          <w:pgMar w:left="300" w:top="784" w:right="319" w:bottom="1440" w:gutter="0" w:footer="0" w:header="0"/>
        </w:sectPr>
      </w:pPr>
    </w:p>
    <w:p>
      <w:pPr>
        <w:spacing w:after="0" w:line="18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Any shareholder entitled to vote may authorize another person to act for him by proxy. No proxy shall be valid after the expiration of 11 months from the date thereof unless otherwise provided in the proxy.</w:t>
      </w:r>
    </w:p>
    <w:p>
      <w:pPr>
        <w:spacing w:after="0" w:line="2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Unless otherwise provided in the articles of incorporation or the bylaws, a majority of shares entitled to vote constitutes a quorum. In no event shall a quorum consist of fewer than one-third of the shares entitled to vote at a meeting.</w:t>
      </w:r>
    </w:p>
    <w:p>
      <w:pPr>
        <w:spacing w:after="0" w:line="28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When a quorum is once present to organize a meeting, it is not broken by the subsequent withdrawal of any shareholders.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articles of incorporation may provide for cumulative voting in the election of directors.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Removal</w:t>
      </w:r>
      <w:r>
        <w:rPr>
          <w:rFonts w:ascii="Times New Roman" w:cs="Times New Roman" w:eastAsia="Times New Roman" w:hAnsi="Times New Roman"/>
          <w:sz w:val="13"/>
          <w:szCs w:val="13"/>
          <w:color w:val="auto"/>
        </w:rPr>
        <w:t>:</w:t>
      </w:r>
    </w:p>
    <w:p>
      <w:pPr>
        <w:spacing w:after="0" w:line="33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If the articles of incorporation or the bylaws so provide, any or all of the directors may be removed without cause by vote of the shareholders.</w:t>
      </w:r>
    </w:p>
    <w:p>
      <w:pPr>
        <w:spacing w:after="0" w:line="200" w:lineRule="exact"/>
        <w:rPr>
          <w:sz w:val="20"/>
          <w:szCs w:val="20"/>
          <w:color w:val="auto"/>
        </w:rPr>
      </w:pPr>
    </w:p>
    <w:p>
      <w:pPr>
        <w:spacing w:after="0" w:line="20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Any or all of the directors may be removed for cause by vote of the shareholders. The articles of incorporation or the specific provisions of a bylaw may provide for such removal by action of the board.</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Any person authorized to vote may authorize another person or persons to act for him by proxy, but no such proxy shall be voted or acted upon after 3 years from its date, unless the proxy provides for a longer period.</w:t>
      </w:r>
    </w:p>
    <w:p>
      <w:pPr>
        <w:spacing w:after="0" w:line="1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For stock corporations, the certificate of incorporation or bylaws may specify the number of shares required to constitute a quorum but in no event shall a quorum consist of less than one-third of shares entitled to vote at a meeting. In the absence of such specifications, a majority of shares entitled to vote shall constitute a quorum.</w:t>
      </w:r>
    </w:p>
    <w:p>
      <w:pPr>
        <w:spacing w:after="0" w:line="13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When a quorum is once present to organize a meeting, it is not broken by the subsequent withdrawal of any shareholders.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certificate of incorporation may provide for cumulative voting in the election of directors.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Removal</w:t>
      </w:r>
      <w:r>
        <w:rPr>
          <w:rFonts w:ascii="Times New Roman" w:cs="Times New Roman" w:eastAsia="Times New Roman" w:hAnsi="Times New Roman"/>
          <w:sz w:val="13"/>
          <w:szCs w:val="13"/>
          <w:color w:val="auto"/>
        </w:rPr>
        <w:t>:</w:t>
      </w:r>
    </w:p>
    <w:p>
      <w:pPr>
        <w:spacing w:after="0" w:line="3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3"/>
          <w:szCs w:val="13"/>
          <w:color w:val="auto"/>
        </w:rPr>
        <w:t>Any or all of the directors may be removed, with or without cause, by the holders of a majority of the shares entitled to vote except: (1) unless the certificate of incorporation otherwise provides, in the case of a corporation whose board is classified, shareholders may effect such removal only for cause, or (2) if the corporation has cumulative voting, if less than the entire board is to be removed, no director may be removed without cause if the votes cast against such director’s removal would be sufficient to elect such director if then cumulatively voted at an election of the entire board of directors, or, if there be classes of directors, at an election of the class of directors of which such director is a part.</w:t>
      </w:r>
    </w:p>
    <w:p>
      <w:pPr>
        <w:spacing w:after="0" w:line="200" w:lineRule="exact"/>
        <w:rPr>
          <w:sz w:val="20"/>
          <w:szCs w:val="20"/>
          <w:color w:val="auto"/>
        </w:rPr>
      </w:pPr>
    </w:p>
    <w:p>
      <w:pPr>
        <w:sectPr>
          <w:pgSz w:w="11900" w:h="16838" w:orient="portrait"/>
          <w:cols w:equalWidth="0" w:num="2">
            <w:col w:w="5760" w:space="120"/>
            <w:col w:w="5400"/>
          </w:cols>
          <w:pgMar w:left="300" w:top="784" w:right="319" w:bottom="1440" w:gutter="0" w:footer="0" w:header="0"/>
          <w:type w:val="continuous"/>
        </w:sectPr>
      </w:pP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Directors</w:t>
      </w:r>
    </w:p>
    <w:p>
      <w:pPr>
        <w:sectPr>
          <w:pgSz w:w="11900" w:h="16838" w:orient="portrait"/>
          <w:cols w:equalWidth="0" w:num="1">
            <w:col w:w="11280"/>
          </w:cols>
          <w:pgMar w:left="300" w:top="784" w:right="319" w:bottom="1440" w:gutter="0" w:footer="0" w:header="0"/>
          <w:type w:val="continuous"/>
        </w:sectPr>
      </w:pPr>
    </w:p>
    <w:p>
      <w:pPr>
        <w:spacing w:after="0" w:line="17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Number of board members can be changed by an amendment to the bylaws, by the shareholders, or by action of the board under the specific provisions of a bylaw.</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board of directors must consist of at least one member.</w:t>
      </w:r>
    </w:p>
    <w:p>
      <w:pPr>
        <w:spacing w:after="0" w:line="17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If the board of directors is authorized by the bylaws to change the number of directors, it can only do so by a majority of the entire board of directors. No decrease in the number shortens the term of any incumbent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240665</wp:posOffset>
            </wp:positionV>
            <wp:extent cx="7167880"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Number of board members shall be fixed by, or in a manner provided by, the bylaws, unless the certificate of incorporation fixes the number of directors, in which case a change in the number shall be made only by amendment to the certificate of incorporation.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board of directors must consist of at least one member.</w:t>
      </w:r>
    </w:p>
    <w:p>
      <w:pPr>
        <w:sectPr>
          <w:pgSz w:w="11900" w:h="16838" w:orient="portrait"/>
          <w:cols w:equalWidth="0" w:num="2">
            <w:col w:w="5760" w:space="120"/>
            <w:col w:w="5400"/>
          </w:cols>
          <w:pgMar w:left="300" w:top="784" w:right="319" w:bottom="1440" w:gutter="0" w:footer="0" w:header="0"/>
          <w:type w:val="continuous"/>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3"/>
          <w:szCs w:val="13"/>
          <w:b w:val="1"/>
          <w:bCs w:val="1"/>
          <w:color w:val="auto"/>
        </w:rPr>
        <w:t>Dissenter’s Rights of Appraisal</w:t>
      </w:r>
    </w:p>
    <w:p>
      <w:pPr>
        <w:spacing w:after="0" w:line="25" w:lineRule="exact"/>
        <w:rPr>
          <w:sz w:val="20"/>
          <w:szCs w:val="20"/>
          <w:color w:val="auto"/>
        </w:rPr>
      </w:pPr>
    </w:p>
    <w:p>
      <w:pPr>
        <w:spacing w:after="0"/>
        <w:tabs>
          <w:tab w:leader="none" w:pos="8340" w:val="left"/>
        </w:tabs>
        <w:rPr>
          <w:sz w:val="20"/>
          <w:szCs w:val="20"/>
          <w:color w:val="auto"/>
        </w:rPr>
      </w:pPr>
      <w:r>
        <w:rPr>
          <w:rFonts w:ascii="Times New Roman" w:cs="Times New Roman" w:eastAsia="Times New Roman" w:hAnsi="Times New Roman"/>
          <w:sz w:val="13"/>
          <w:szCs w:val="13"/>
          <w:b w:val="1"/>
          <w:bCs w:val="1"/>
          <w:color w:val="auto"/>
        </w:rPr>
        <w:t>Marshall Islands</w:t>
      </w:r>
      <w:r>
        <w:rPr>
          <w:sz w:val="20"/>
          <w:szCs w:val="20"/>
          <w:color w:val="auto"/>
        </w:rPr>
        <w:tab/>
      </w:r>
      <w:r>
        <w:rPr>
          <w:rFonts w:ascii="Times New Roman" w:cs="Times New Roman" w:eastAsia="Times New Roman" w:hAnsi="Times New Roman"/>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167880" cy="127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1">
                      <a:extLst>
                        <a:ext uri="{28A0092B-C50C-407E-A947-70E740481C1C}"/>
                      </a:extLst>
                    </a:blip>
                    <a:srcRect/>
                    <a:stretch>
                      <a:fillRect/>
                    </a:stretch>
                  </pic:blipFill>
                  <pic:spPr bwMode="auto">
                    <a:xfrm>
                      <a:off x="0" y="0"/>
                      <a:ext cx="7167880" cy="12700"/>
                    </a:xfrm>
                    <a:prstGeom prst="rect">
                      <a:avLst/>
                    </a:prstGeom>
                    <a:noFill/>
                  </pic:spPr>
                </pic:pic>
              </a:graphicData>
            </a:graphic>
          </wp:anchor>
        </w:drawing>
      </w:r>
    </w:p>
    <w:p>
      <w:pPr>
        <w:sectPr>
          <w:pgSz w:w="11900" w:h="16838" w:orient="portrait"/>
          <w:cols w:equalWidth="0" w:num="1">
            <w:col w:w="11280"/>
          </w:cols>
          <w:pgMar w:left="300" w:top="624" w:right="319" w:bottom="1440" w:gutter="0" w:footer="0" w:header="0"/>
        </w:sectPr>
      </w:pP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Shareholders have a right to dissent from any plan of merger, consolidation or sale or exchange of all or substantially all of the property and assets not made in the usual and regular course of business, and receive payment of the fair value of their shares. However, the right of a dissenting shareholder under the MIBCA to receive payment of the fair value of his shares is not available for the shares of any class or series of stock, which shares at the record date fixed to determine the shareholders entitled to receive notice of and to vote at the meeting of the shareholders to act upon the agreement of merger or consolidation or any sale or exchange of all or substantially all property and assets not made in the usual course of business, were either</w:t>
      </w:r>
    </w:p>
    <w:p>
      <w:pPr>
        <w:spacing w:after="0" w:line="1" w:lineRule="exact"/>
        <w:rPr>
          <w:sz w:val="20"/>
          <w:szCs w:val="20"/>
          <w:color w:val="auto"/>
        </w:rPr>
      </w:pPr>
    </w:p>
    <w:p>
      <w:pPr>
        <w:ind w:right="20"/>
        <w:spacing w:after="0" w:line="272" w:lineRule="auto"/>
        <w:tabs>
          <w:tab w:leader="none" w:pos="166"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listed on a securities exchange or admitted for trading on an interdealer quotation system or (ii) held of record by more than 2,000 holders.</w:t>
      </w:r>
    </w:p>
    <w:p>
      <w:pPr>
        <w:spacing w:after="0" w:line="1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A holder of any adversely affected shares who does not vote in favor of or consent in writing to an amendment to the articles of incorporation has the right to dissent and to receive payment for such shares if the amendment:</w:t>
      </w:r>
    </w:p>
    <w:p>
      <w:pPr>
        <w:spacing w:after="0" w:line="127" w:lineRule="exact"/>
        <w:rPr>
          <w:sz w:val="20"/>
          <w:szCs w:val="20"/>
          <w:color w:val="auto"/>
        </w:rPr>
      </w:pPr>
    </w:p>
    <w:p>
      <w:pPr>
        <w:ind w:left="80" w:hanging="80"/>
        <w:spacing w:after="0"/>
        <w:tabs>
          <w:tab w:leader="none" w:pos="80"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alters or abolishes any preferential right of any outstanding shares having preference; or</w:t>
      </w:r>
    </w:p>
    <w:p>
      <w:pPr>
        <w:spacing w:after="0" w:line="169" w:lineRule="exact"/>
        <w:rPr>
          <w:rFonts w:ascii="Times New Roman" w:cs="Times New Roman" w:eastAsia="Times New Roman" w:hAnsi="Times New Roman"/>
          <w:sz w:val="13"/>
          <w:szCs w:val="13"/>
          <w:color w:val="auto"/>
        </w:rPr>
      </w:pPr>
    </w:p>
    <w:p>
      <w:pPr>
        <w:ind w:left="80" w:hanging="80"/>
        <w:spacing w:after="0"/>
        <w:tabs>
          <w:tab w:leader="none" w:pos="80"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creates, alters or abolishes any provision or right in respect to the redemption of any outstanding shares; or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 alters or abolishes any preemptive right of such holder to acquire shares or other securities; or</w:t>
      </w:r>
    </w:p>
    <w:p>
      <w:pPr>
        <w:spacing w:after="0" w:line="17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3"/>
          <w:szCs w:val="13"/>
          <w:color w:val="auto"/>
        </w:rPr>
        <w:t>•   excludes or limits the right of such holder to vote on any matter, except as such right may be limited by the voting rights given to new shares then being authorized of any existing or new class.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Appraisal rights shall be available for the shares of any class or series of stock of a corporation in a merger or consolidation, subject to limited exceptions, such as a merger or consolidation of corporations listed on a national securities exchange in which listed shares are the offered consideration or if such shares are held of record by more than 2,000 holders.</w:t>
      </w:r>
    </w:p>
    <w:p>
      <w:pPr>
        <w:spacing w:after="0" w:line="3003" w:lineRule="exact"/>
        <w:rPr>
          <w:sz w:val="20"/>
          <w:szCs w:val="20"/>
          <w:color w:val="auto"/>
        </w:rPr>
      </w:pPr>
    </w:p>
    <w:p>
      <w:pPr>
        <w:sectPr>
          <w:pgSz w:w="11900" w:h="16838" w:orient="portrait"/>
          <w:cols w:equalWidth="0" w:num="2">
            <w:col w:w="5760" w:space="120"/>
            <w:col w:w="5400"/>
          </w:cols>
          <w:pgMar w:left="300" w:top="624"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Shareholders’ Derivative Actions</w:t>
      </w:r>
    </w:p>
    <w:p>
      <w:pPr>
        <w:sectPr>
          <w:pgSz w:w="11900" w:h="16838" w:orient="portrait"/>
          <w:cols w:equalWidth="0" w:num="1">
            <w:col w:w="11280"/>
          </w:cols>
          <w:pgMar w:left="300" w:top="624" w:right="319" w:bottom="1440" w:gutter="0" w:footer="0" w:header="0"/>
          <w:type w:val="continuous"/>
        </w:sectPr>
      </w:pPr>
    </w:p>
    <w:p>
      <w:pPr>
        <w:spacing w:after="0" w:line="17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3"/>
          <w:szCs w:val="13"/>
          <w:color w:val="auto"/>
        </w:rPr>
        <w:t>An action may be brought in the right of a corporation to procure a judgment in its favor, by a holder of shares or of voting trust certificates or of a beneficial interest in such shares or certificates. It shall be made to appear that the plaintiff is such a holder at the time the action is brought and that he was such a holder at the time of the transaction of which he complains, or that his shares or his interest therein devolved upon him by operation of law.</w:t>
      </w:r>
    </w:p>
    <w:p>
      <w:pPr>
        <w:spacing w:after="0" w:line="1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A complaint shall set forth with particularity the efforts of the plaintiff to secure the initiation of such action by the board of directors or the reasons for not making such effort. Such action in the Marshall Islands shall not be discontinued, compromised or settled without the approval of the High Court of the Republic of the Marshall Islands.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In any derivative suit instituted by a shareholder of a corporation, it shall be averred in the complaint that the plaintiff was a shareholder of the corporation at the time of the transaction of which he complains or that such shareholder’s stock thereafter devolved upon such shareholder by operation of law.</w:t>
      </w:r>
    </w:p>
    <w:p>
      <w:pPr>
        <w:spacing w:after="0" w:line="1087" w:lineRule="exact"/>
        <w:rPr>
          <w:sz w:val="20"/>
          <w:szCs w:val="20"/>
          <w:color w:val="auto"/>
        </w:rPr>
      </w:pPr>
    </w:p>
    <w:p>
      <w:pPr>
        <w:sectPr>
          <w:pgSz w:w="11900" w:h="16838" w:orient="portrait"/>
          <w:cols w:equalWidth="0" w:num="2">
            <w:col w:w="5760" w:space="120"/>
            <w:col w:w="5400"/>
          </w:cols>
          <w:pgMar w:left="300" w:top="624" w:right="319" w:bottom="1440" w:gutter="0" w:footer="0" w:header="0"/>
          <w:type w:val="continuous"/>
        </w:sectPr>
      </w:pPr>
    </w:p>
    <w:p>
      <w:pPr>
        <w:spacing w:after="0"/>
        <w:tabs>
          <w:tab w:leader="none" w:pos="8300" w:val="left"/>
        </w:tabs>
        <w:rPr>
          <w:sz w:val="20"/>
          <w:szCs w:val="20"/>
          <w:color w:val="auto"/>
        </w:rPr>
      </w:pPr>
      <w:r>
        <w:rPr>
          <w:rFonts w:ascii="Times New Roman" w:cs="Times New Roman" w:eastAsia="Times New Roman" w:hAnsi="Times New Roman"/>
          <w:sz w:val="13"/>
          <w:szCs w:val="13"/>
          <w:b w:val="1"/>
          <w:bCs w:val="1"/>
          <w:color w:val="auto"/>
        </w:rPr>
        <w:t>Marshall Islands</w:t>
      </w:r>
      <w:r>
        <w:rPr>
          <w:sz w:val="20"/>
          <w:szCs w:val="20"/>
          <w:color w:val="auto"/>
        </w:rPr>
        <w:tab/>
      </w:r>
      <w:r>
        <w:rPr>
          <w:rFonts w:ascii="Times New Roman" w:cs="Times New Roman" w:eastAsia="Times New Roman" w:hAnsi="Times New Roman"/>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67880" cy="127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2">
                      <a:extLst>
                        <a:ext uri="{28A0092B-C50C-407E-A947-70E740481C1C}"/>
                      </a:extLst>
                    </a:blip>
                    <a:srcRect/>
                    <a:stretch>
                      <a:fillRect/>
                    </a:stretch>
                  </pic:blipFill>
                  <pic:spPr bwMode="auto">
                    <a:xfrm>
                      <a:off x="0" y="0"/>
                      <a:ext cx="7167880" cy="12700"/>
                    </a:xfrm>
                    <a:prstGeom prst="rect">
                      <a:avLst/>
                    </a:prstGeom>
                    <a:noFill/>
                  </pic:spPr>
                </pic:pic>
              </a:graphicData>
            </a:graphic>
          </wp:anchor>
        </w:drawing>
      </w:r>
    </w:p>
    <w:p>
      <w:pPr>
        <w:spacing w:after="0" w:line="162" w:lineRule="exact"/>
        <w:rPr>
          <w:sz w:val="20"/>
          <w:szCs w:val="20"/>
          <w:color w:val="auto"/>
        </w:rPr>
      </w:pPr>
    </w:p>
    <w:p>
      <w:pPr>
        <w:jc w:val="both"/>
        <w:ind w:right="5520"/>
        <w:spacing w:after="0" w:line="293" w:lineRule="auto"/>
        <w:rPr>
          <w:sz w:val="20"/>
          <w:szCs w:val="20"/>
          <w:color w:val="auto"/>
        </w:rPr>
      </w:pPr>
      <w:r>
        <w:rPr>
          <w:rFonts w:ascii="Times New Roman" w:cs="Times New Roman" w:eastAsia="Times New Roman" w:hAnsi="Times New Roman"/>
          <w:sz w:val="13"/>
          <w:szCs w:val="13"/>
          <w:color w:val="auto"/>
        </w:rPr>
        <w:t>Reasonable expenses including attorneys’ fees may be awarded by a Marshall Islands court if the action is successful.</w:t>
      </w:r>
    </w:p>
    <w:p>
      <w:pPr>
        <w:spacing w:after="0" w:line="114" w:lineRule="exact"/>
        <w:rPr>
          <w:sz w:val="20"/>
          <w:szCs w:val="20"/>
          <w:color w:val="auto"/>
        </w:rPr>
      </w:pPr>
    </w:p>
    <w:p>
      <w:pPr>
        <w:jc w:val="both"/>
        <w:ind w:right="5520"/>
        <w:spacing w:after="0" w:line="274" w:lineRule="auto"/>
        <w:rPr>
          <w:sz w:val="20"/>
          <w:szCs w:val="20"/>
          <w:color w:val="auto"/>
        </w:rPr>
      </w:pPr>
      <w:r>
        <w:rPr>
          <w:rFonts w:ascii="Times New Roman" w:cs="Times New Roman" w:eastAsia="Times New Roman" w:hAnsi="Times New Roman"/>
          <w:sz w:val="13"/>
          <w:szCs w:val="13"/>
          <w:color w:val="auto"/>
        </w:rPr>
        <w:t>In any action in the Marshall Islands, a corporation may require a plaintiff bringing a derivative suit to give security for reasonable expenses if the plaintiff owns less than 5% of any class of stock and the stock has a value of $50,000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240665</wp:posOffset>
            </wp:positionV>
            <wp:extent cx="7167880"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4" w:right="319" w:bottom="1440" w:gutter="0" w:footer="0" w:header="0"/>
          <w:type w:val="continuous"/>
        </w:sectPr>
      </w:pPr>
    </w:p>
    <w:bookmarkStart w:id="185" w:name="page186"/>
    <w:bookmarkEnd w:id="185"/>
    <w:p>
      <w:pPr>
        <w:spacing w:after="0"/>
        <w:rPr>
          <w:sz w:val="20"/>
          <w:szCs w:val="20"/>
          <w:color w:val="auto"/>
        </w:rPr>
      </w:pPr>
      <w:r>
        <w:rPr>
          <w:rFonts w:ascii="Times New Roman" w:cs="Times New Roman" w:eastAsia="Times New Roman" w:hAnsi="Times New Roman"/>
          <w:sz w:val="13"/>
          <w:szCs w:val="13"/>
          <w:b w:val="1"/>
          <w:bCs w:val="1"/>
          <w:color w:val="auto"/>
        </w:rPr>
        <w:t>Exchange Controls</w:t>
      </w:r>
    </w:p>
    <w:p>
      <w:pPr>
        <w:spacing w:after="0" w:line="92" w:lineRule="exact"/>
        <w:rPr>
          <w:sz w:val="20"/>
          <w:szCs w:val="20"/>
          <w:color w:val="auto"/>
        </w:rPr>
      </w:pPr>
    </w:p>
    <w:p>
      <w:pPr>
        <w:jc w:val="both"/>
        <w:ind w:firstLine="326"/>
        <w:spacing w:after="0" w:line="293" w:lineRule="auto"/>
        <w:rPr>
          <w:sz w:val="20"/>
          <w:szCs w:val="20"/>
          <w:color w:val="auto"/>
        </w:rPr>
      </w:pPr>
      <w:r>
        <w:rPr>
          <w:rFonts w:ascii="Times New Roman" w:cs="Times New Roman" w:eastAsia="Times New Roman" w:hAnsi="Times New Roman"/>
          <w:sz w:val="13"/>
          <w:szCs w:val="13"/>
          <w:color w:val="auto"/>
        </w:rPr>
        <w:t>Under Marshall Islands law, there are currently no restrictions on the export or import of capital, including foreign exchange controls, or restrictions that affect the remittance of dividends, interest or other payments to holders of our common shares that are neither Marshall Islands residents nor Marshall Islands citizens.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Marshall Islands Tax Consequences</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The following is applicable only to persons who are not citizens of and do not reside in, maintain offices in or carry on business or conduct transactions or operations in the Marshall Islands.</w:t>
      </w:r>
    </w:p>
    <w:p>
      <w:pPr>
        <w:spacing w:after="0" w:line="170" w:lineRule="exact"/>
        <w:rPr>
          <w:sz w:val="20"/>
          <w:szCs w:val="20"/>
          <w:color w:val="auto"/>
        </w:rPr>
      </w:pPr>
    </w:p>
    <w:p>
      <w:pPr>
        <w:jc w:val="both"/>
        <w:ind w:firstLine="326"/>
        <w:spacing w:after="0" w:line="268" w:lineRule="auto"/>
        <w:rPr>
          <w:sz w:val="20"/>
          <w:szCs w:val="20"/>
          <w:color w:val="auto"/>
        </w:rPr>
      </w:pPr>
      <w:r>
        <w:rPr>
          <w:rFonts w:ascii="Times New Roman" w:cs="Times New Roman" w:eastAsia="Times New Roman" w:hAnsi="Times New Roman"/>
          <w:sz w:val="13"/>
          <w:szCs w:val="13"/>
          <w:color w:val="auto"/>
        </w:rPr>
        <w:t>Because we (including our subsidiaries) do not, and assuming that we (including our subsidiaries) continue not to, carry on business or conduct transactions or operations in the Marshall Islands, and because we anticipate, and therefore assuming, that all documentation related to any offerings of our securities will be executed outside of the Marshall Islands, under current Marshall Islands law our shareholders will not be subject to Marshall Islands taxation or withholding tax on our dividends. In addition, our shareholders will not be subject to Marshall Islands stamp, capital gains or other taxes on the purchase, ownership or disposition of our common shares, and our shareholders will not be required by the Marshall Islands to file a tax return related to our common shares.</w:t>
      </w:r>
    </w:p>
    <w:p>
      <w:pPr>
        <w:sectPr>
          <w:pgSz w:w="11900" w:h="16838" w:orient="portrait"/>
          <w:cols w:equalWidth="0" w:num="1">
            <w:col w:w="11280"/>
          </w:cols>
          <w:pgMar w:left="300" w:top="464" w:right="31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3"/>
          <w:szCs w:val="13"/>
          <w:b w:val="1"/>
          <w:bCs w:val="1"/>
          <w:color w:val="auto"/>
        </w:rPr>
        <w:t>Exhibit 4.2</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OF FLOATING RATE MANAGEMENT AGREEMENT</w:t>
      </w:r>
    </w:p>
    <w:p>
      <w:pPr>
        <w:spacing w:after="0" w:line="172"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THIS AGREEMENT dated as of the [•], is entered into by and between [•], a company duly organized and existing under the laws of [•], with its registered office at [•] (the “</w:t>
      </w:r>
      <w:r>
        <w:rPr>
          <w:rFonts w:ascii="Times New Roman" w:cs="Times New Roman" w:eastAsia="Times New Roman" w:hAnsi="Times New Roman"/>
          <w:sz w:val="13"/>
          <w:szCs w:val="13"/>
          <w:u w:val="single" w:color="auto"/>
          <w:color w:val="auto"/>
        </w:rPr>
        <w:t>Owner</w:t>
      </w:r>
      <w:r>
        <w:rPr>
          <w:rFonts w:ascii="Times New Roman" w:cs="Times New Roman" w:eastAsia="Times New Roman" w:hAnsi="Times New Roman"/>
          <w:sz w:val="13"/>
          <w:szCs w:val="13"/>
          <w:color w:val="auto"/>
        </w:rPr>
        <w:t>”), and CAPITAL CONTAINERS SHIP MANAGEMENT CORP., a company duly organized and existing under the laws of Marshall Islands, with its registered office at Trust Company Complex, Ajeltake Road, Ajeltake Island, Majuro, Marshall Islands MH96960 (the “</w:t>
      </w:r>
      <w:r>
        <w:rPr>
          <w:rFonts w:ascii="Times New Roman" w:cs="Times New Roman" w:eastAsia="Times New Roman" w:hAnsi="Times New Roman"/>
          <w:sz w:val="13"/>
          <w:szCs w:val="13"/>
          <w:u w:val="single" w:color="auto"/>
          <w:color w:val="auto"/>
        </w:rPr>
        <w:t>Manager</w:t>
      </w:r>
      <w:r>
        <w:rPr>
          <w:rFonts w:ascii="Times New Roman" w:cs="Times New Roman" w:eastAsia="Times New Roman" w:hAnsi="Times New Roman"/>
          <w:sz w:val="13"/>
          <w:szCs w:val="13"/>
          <w:color w:val="auto"/>
        </w:rPr>
        <w:t>”).</w:t>
      </w:r>
    </w:p>
    <w:p>
      <w:pPr>
        <w:spacing w:after="0" w:line="1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WHEREAS:</w:t>
      </w:r>
    </w:p>
    <w:p>
      <w:pPr>
        <w:spacing w:after="0" w:line="170" w:lineRule="exact"/>
        <w:rPr>
          <w:sz w:val="20"/>
          <w:szCs w:val="20"/>
          <w:color w:val="auto"/>
        </w:rPr>
      </w:pPr>
    </w:p>
    <w:p>
      <w:pPr>
        <w:ind w:left="1200" w:hanging="242"/>
        <w:spacing w:after="0" w:line="293" w:lineRule="auto"/>
        <w:tabs>
          <w:tab w:leader="none" w:pos="1189"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Owner is the registered owner of the [•] flagged vessel “[•]” with IMO No. [•] (the “</w:t>
      </w:r>
      <w:r>
        <w:rPr>
          <w:rFonts w:ascii="Times New Roman" w:cs="Times New Roman" w:eastAsia="Times New Roman" w:hAnsi="Times New Roman"/>
          <w:sz w:val="13"/>
          <w:szCs w:val="13"/>
          <w:u w:val="single" w:color="auto"/>
          <w:color w:val="auto"/>
        </w:rPr>
        <w:t>Vessel</w:t>
      </w:r>
      <w:r>
        <w:rPr>
          <w:rFonts w:ascii="Times New Roman" w:cs="Times New Roman" w:eastAsia="Times New Roman" w:hAnsi="Times New Roman"/>
          <w:sz w:val="13"/>
          <w:szCs w:val="13"/>
          <w:color w:val="auto"/>
        </w:rPr>
        <w:t>”) and requires certain commercial and technical management services for the operation of the Vessel; and</w:t>
      </w:r>
    </w:p>
    <w:p>
      <w:pPr>
        <w:spacing w:after="0" w:line="114" w:lineRule="exact"/>
        <w:rPr>
          <w:rFonts w:ascii="Times New Roman" w:cs="Times New Roman" w:eastAsia="Times New Roman" w:hAnsi="Times New Roman"/>
          <w:sz w:val="13"/>
          <w:szCs w:val="13"/>
          <w:color w:val="auto"/>
        </w:rPr>
      </w:pPr>
    </w:p>
    <w:p>
      <w:pPr>
        <w:ind w:left="1220" w:hanging="262"/>
        <w:spacing w:after="0"/>
        <w:tabs>
          <w:tab w:leader="none" w:pos="1220"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Owner wishes to engage the Manager to provide such commercial and technical management services to the Owner on the terms set out herein.</w:t>
      </w:r>
    </w:p>
    <w:p>
      <w:pPr>
        <w:spacing w:after="0" w:line="170" w:lineRule="exact"/>
        <w:rPr>
          <w:sz w:val="20"/>
          <w:szCs w:val="20"/>
          <w:color w:val="auto"/>
        </w:rPr>
      </w:pPr>
    </w:p>
    <w:p>
      <w:pPr>
        <w:ind w:firstLine="958"/>
        <w:spacing w:after="0" w:line="293" w:lineRule="auto"/>
        <w:rPr>
          <w:sz w:val="20"/>
          <w:szCs w:val="20"/>
          <w:color w:val="auto"/>
        </w:rPr>
      </w:pPr>
      <w:r>
        <w:rPr>
          <w:rFonts w:ascii="Times New Roman" w:cs="Times New Roman" w:eastAsia="Times New Roman" w:hAnsi="Times New Roman"/>
          <w:sz w:val="13"/>
          <w:szCs w:val="13"/>
          <w:color w:val="auto"/>
        </w:rPr>
        <w:t>NOW THEREFORE, the parties agree that, in consideration of the fees set forth in Schedule “C” to this Agreement (the “</w:t>
      </w:r>
      <w:r>
        <w:rPr>
          <w:rFonts w:ascii="Times New Roman" w:cs="Times New Roman" w:eastAsia="Times New Roman" w:hAnsi="Times New Roman"/>
          <w:sz w:val="13"/>
          <w:szCs w:val="13"/>
          <w:u w:val="single" w:color="auto"/>
          <w:color w:val="auto"/>
        </w:rPr>
        <w:t>Fees and Costs</w:t>
      </w:r>
      <w:r>
        <w:rPr>
          <w:rFonts w:ascii="Times New Roman" w:cs="Times New Roman" w:eastAsia="Times New Roman" w:hAnsi="Times New Roman"/>
          <w:sz w:val="13"/>
          <w:szCs w:val="13"/>
          <w:color w:val="auto"/>
        </w:rPr>
        <w:t>”) and subject to the Terms and Conditions attached hereto, the Manager shall provide the services set forth in Schedule “A” to this Agreement (the “</w:t>
      </w:r>
      <w:r>
        <w:rPr>
          <w:rFonts w:ascii="Times New Roman" w:cs="Times New Roman" w:eastAsia="Times New Roman" w:hAnsi="Times New Roman"/>
          <w:sz w:val="13"/>
          <w:szCs w:val="13"/>
          <w:u w:val="single" w:color="auto"/>
          <w:color w:val="auto"/>
        </w:rPr>
        <w:t>Services</w:t>
      </w:r>
      <w:r>
        <w:rPr>
          <w:rFonts w:ascii="Times New Roman" w:cs="Times New Roman" w:eastAsia="Times New Roman" w:hAnsi="Times New Roman"/>
          <w:sz w:val="13"/>
          <w:szCs w:val="13"/>
          <w:color w:val="auto"/>
        </w:rPr>
        <w:t>”) to the Vessel and for the time period set out in Schedule “B” to this Agreement.</w:t>
      </w:r>
    </w:p>
    <w:p>
      <w:pPr>
        <w:spacing w:after="0" w:line="1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IN WITNESS WHEREOF the Parties have executed this Agreement by their duly authorized signatories with effect on the date first above written.</w:t>
      </w:r>
    </w:p>
    <w:p>
      <w:pPr>
        <w:spacing w:after="0" w:line="170"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3"/>
          <w:szCs w:val="13"/>
          <w:color w:val="auto"/>
        </w:rPr>
        <w:t>OWNER</w:t>
      </w:r>
    </w:p>
    <w:p>
      <w:pPr>
        <w:spacing w:after="0" w:line="330"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14605</wp:posOffset>
            </wp:positionV>
            <wp:extent cx="2719070"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4">
                      <a:extLst>
                        <a:ext uri="{28A0092B-C50C-407E-A947-70E740481C1C}"/>
                      </a:extLst>
                    </a:blip>
                    <a:srcRect/>
                    <a:stretch>
                      <a:fillRect/>
                    </a:stretch>
                  </pic:blipFill>
                  <pic:spPr bwMode="auto">
                    <a:xfrm>
                      <a:off x="0" y="0"/>
                      <a:ext cx="2719070" cy="6350"/>
                    </a:xfrm>
                    <a:prstGeom prst="rect">
                      <a:avLst/>
                    </a:prstGeom>
                    <a:noFill/>
                  </pic:spPr>
                </pic:pic>
              </a:graphicData>
            </a:graphic>
          </wp:anchor>
        </w:drawing>
      </w:r>
    </w:p>
    <w:p>
      <w:pPr>
        <w:spacing w:after="0" w:line="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3"/>
          <w:szCs w:val="13"/>
          <w:color w:val="auto"/>
        </w:rPr>
        <w:t>Title:</w:t>
      </w:r>
    </w:p>
    <w:p>
      <w:pPr>
        <w:spacing w:after="0" w:line="15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3"/>
          <w:szCs w:val="13"/>
          <w:color w:val="auto"/>
        </w:rPr>
        <w:t>MANAGER</w:t>
      </w:r>
    </w:p>
    <w:p>
      <w:pPr>
        <w:spacing w:after="0" w:line="170"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14605</wp:posOffset>
            </wp:positionV>
            <wp:extent cx="271907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5">
                      <a:extLst>
                        <a:ext uri="{28A0092B-C50C-407E-A947-70E740481C1C}"/>
                      </a:extLst>
                    </a:blip>
                    <a:srcRect/>
                    <a:stretch>
                      <a:fillRect/>
                    </a:stretch>
                  </pic:blipFill>
                  <pic:spPr bwMode="auto">
                    <a:xfrm>
                      <a:off x="0" y="0"/>
                      <a:ext cx="2719070" cy="6350"/>
                    </a:xfrm>
                    <a:prstGeom prst="rect">
                      <a:avLst/>
                    </a:prstGeom>
                    <a:noFill/>
                  </pic:spPr>
                </pic:pic>
              </a:graphicData>
            </a:graphic>
          </wp:anchor>
        </w:drawing>
      </w:r>
    </w:p>
    <w:p>
      <w:pPr>
        <w:spacing w:after="0" w:line="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3"/>
          <w:szCs w:val="13"/>
          <w:color w:val="auto"/>
        </w:rPr>
        <w:t>Title:</w:t>
      </w: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TERMS AND CONDITIONS</w:t>
      </w:r>
    </w:p>
    <w:p>
      <w:pPr>
        <w:spacing w:after="0" w:line="17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 xml:space="preserve">Section 1. </w:t>
      </w: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 xml:space="preserve"> In this Agreement, the term:</w:t>
      </w:r>
    </w:p>
    <w:p>
      <w:pPr>
        <w:spacing w:after="0" w:line="170" w:lineRule="exact"/>
        <w:rPr>
          <w:sz w:val="20"/>
          <w:szCs w:val="20"/>
          <w:color w:val="auto"/>
        </w:rPr>
      </w:pPr>
    </w:p>
    <w:p>
      <w:pPr>
        <w:jc w:val="both"/>
        <w:ind w:firstLine="958"/>
        <w:spacing w:after="0" w:line="27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Affiliates</w:t>
      </w:r>
      <w:r>
        <w:rPr>
          <w:rFonts w:ascii="Times New Roman" w:cs="Times New Roman" w:eastAsia="Times New Roman" w:hAnsi="Times New Roman"/>
          <w:sz w:val="13"/>
          <w:szCs w:val="13"/>
          <w:color w:val="auto"/>
        </w:rPr>
        <w:t>” means, with respect to any person as at any particular date, any other persons that directly or indirectly, through one or more intermediaries, are Controlled by, Control or are under common Control with the person in question, and “Affiliate” means any one of them. For such purpose “</w:t>
      </w:r>
      <w:r>
        <w:rPr>
          <w:rFonts w:ascii="Times New Roman" w:cs="Times New Roman" w:eastAsia="Times New Roman" w:hAnsi="Times New Roman"/>
          <w:sz w:val="13"/>
          <w:szCs w:val="13"/>
          <w:u w:val="single" w:color="auto"/>
          <w:color w:val="auto"/>
        </w:rPr>
        <w:t>Control</w:t>
      </w:r>
      <w:r>
        <w:rPr>
          <w:rFonts w:ascii="Times New Roman" w:cs="Times New Roman" w:eastAsia="Times New Roman" w:hAnsi="Times New Roman"/>
          <w:sz w:val="13"/>
          <w:szCs w:val="13"/>
          <w:color w:val="auto"/>
        </w:rPr>
        <w:t>” means the possession, directly or indirectly, of the power to direct or cause the direction of the management and policies of a person, whether through the ownership of voting securities, by contract or otherwise, and the term “Controlled” has a correlative meaning.</w:t>
      </w:r>
    </w:p>
    <w:p>
      <w:pPr>
        <w:spacing w:after="0" w:line="127" w:lineRule="exact"/>
        <w:rPr>
          <w:sz w:val="20"/>
          <w:szCs w:val="20"/>
          <w:color w:val="auto"/>
        </w:rPr>
      </w:pPr>
    </w:p>
    <w:p>
      <w:pPr>
        <w:jc w:val="both"/>
        <w:ind w:firstLine="958"/>
        <w:spacing w:after="0" w:line="26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Change of Control</w:t>
      </w:r>
      <w:r>
        <w:rPr>
          <w:rFonts w:ascii="Times New Roman" w:cs="Times New Roman" w:eastAsia="Times New Roman" w:hAnsi="Times New Roman"/>
          <w:sz w:val="13"/>
          <w:szCs w:val="13"/>
          <w:color w:val="auto"/>
        </w:rPr>
        <w:t>” means with respect to any entity, an event in which securities of any class entitling the holders thereof to elect a majority of the members of the board of directors or other similar governing body of the entity are acquired, directly or indirectly, by a “</w:t>
      </w:r>
      <w:r>
        <w:rPr>
          <w:rFonts w:ascii="Times New Roman" w:cs="Times New Roman" w:eastAsia="Times New Roman" w:hAnsi="Times New Roman"/>
          <w:sz w:val="13"/>
          <w:szCs w:val="13"/>
          <w:u w:val="single" w:color="auto"/>
          <w:color w:val="auto"/>
        </w:rPr>
        <w:t>person</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u w:val="single" w:color="auto"/>
          <w:color w:val="auto"/>
        </w:rPr>
        <w:t>group</w:t>
      </w:r>
      <w:r>
        <w:rPr>
          <w:rFonts w:ascii="Times New Roman" w:cs="Times New Roman" w:eastAsia="Times New Roman" w:hAnsi="Times New Roman"/>
          <w:sz w:val="13"/>
          <w:szCs w:val="13"/>
          <w:color w:val="auto"/>
        </w:rPr>
        <w:t>” (within the meaning of Sections 13(d) or 14(d)(2) of the U.S. Securities Exchange Act of 1934, as amended), who did not immediately before such acquisition own securities of the entity entitling such person or group to elect such majority (and for the purpose of this definition, any such securities held by another person who is related to such person shall be deemed to be owned by such person).</w:t>
      </w:r>
    </w:p>
    <w:p>
      <w:pPr>
        <w:spacing w:after="0" w:line="131" w:lineRule="exact"/>
        <w:rPr>
          <w:sz w:val="20"/>
          <w:szCs w:val="20"/>
          <w:color w:val="auto"/>
        </w:rPr>
      </w:pPr>
    </w:p>
    <w:p>
      <w:pPr>
        <w:jc w:val="both"/>
        <w:ind w:firstLine="958"/>
        <w:spacing w:after="0" w:line="26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Consumer Price Index</w:t>
      </w:r>
      <w:r>
        <w:rPr>
          <w:rFonts w:ascii="Times New Roman" w:cs="Times New Roman" w:eastAsia="Times New Roman" w:hAnsi="Times New Roman"/>
          <w:sz w:val="13"/>
          <w:szCs w:val="13"/>
          <w:color w:val="auto"/>
        </w:rPr>
        <w:t>” means the Consumer Price Index for All Urban Consumers published by the Bureau of Labor Statistics of the United States Department of Labor, New York, N.Y. – Northeastern N.J. Area, All Items (1982-1984 = 100), or any successor index thereto, appropriately adjusted. In the event that the Consumer Price Index is converted to a different standard reference base or otherwise revised, the determination of amounts provided for in this Agreement shall be made with the use of such conversion factor, formula or table for converting the Consumer Price Index as may be published by the Bureau of Labor Statistics or, if said Bureau shall not publish the same, then with the use of such conversion factor, formula or table as may be published by Prentice-Hall, Inc., or any other nationally recognized publisher of similar statistical information. If the Consumer Price Index ceases to be published, and there is no successor thereto, such other index as the Manager may reasonably select shall be substituted for the Consumer Price Index.</w:t>
      </w:r>
    </w:p>
    <w:p>
      <w:pPr>
        <w:spacing w:after="0" w:line="295" w:lineRule="exact"/>
        <w:rPr>
          <w:sz w:val="20"/>
          <w:szCs w:val="20"/>
          <w:color w:val="auto"/>
        </w:rPr>
      </w:pPr>
    </w:p>
    <w:p>
      <w:pPr>
        <w:jc w:val="both"/>
        <w:ind w:firstLine="958"/>
        <w:spacing w:after="0" w:line="293" w:lineRule="auto"/>
        <w:rPr>
          <w:sz w:val="20"/>
          <w:szCs w:val="20"/>
          <w:color w:val="auto"/>
        </w:rPr>
      </w:pPr>
      <w:r>
        <w:rPr>
          <w:rFonts w:ascii="Times New Roman" w:cs="Times New Roman" w:eastAsia="Times New Roman" w:hAnsi="Times New Roman"/>
          <w:sz w:val="13"/>
          <w:szCs w:val="13"/>
          <w:color w:val="auto"/>
        </w:rPr>
        <w:t xml:space="preserve">Section 2. </w:t>
      </w:r>
      <w:r>
        <w:rPr>
          <w:rFonts w:ascii="Times New Roman" w:cs="Times New Roman" w:eastAsia="Times New Roman" w:hAnsi="Times New Roman"/>
          <w:sz w:val="13"/>
          <w:szCs w:val="13"/>
          <w:u w:val="single" w:color="auto"/>
          <w:color w:val="auto"/>
        </w:rPr>
        <w:t>General.</w:t>
      </w:r>
      <w:r>
        <w:rPr>
          <w:rFonts w:ascii="Times New Roman" w:cs="Times New Roman" w:eastAsia="Times New Roman" w:hAnsi="Times New Roman"/>
          <w:sz w:val="13"/>
          <w:szCs w:val="13"/>
          <w:color w:val="auto"/>
        </w:rPr>
        <w:t xml:space="preserve"> The Manager shall provide the Services, in a commercially reasonable manner, as the Owner may from time to time direct. The Manager shall perform the Services to be provided hereunder in accordance with customary ship management practice and with the care, diligence and skill that a prudent manager of vessels such as the Vessel would possess and exercise.</w:t>
      </w:r>
    </w:p>
    <w:p>
      <w:pPr>
        <w:spacing w:after="0" w:line="1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 xml:space="preserve">Section 3. </w:t>
      </w:r>
      <w:r>
        <w:rPr>
          <w:rFonts w:ascii="Times New Roman" w:cs="Times New Roman" w:eastAsia="Times New Roman" w:hAnsi="Times New Roman"/>
          <w:sz w:val="13"/>
          <w:szCs w:val="13"/>
          <w:u w:val="single" w:color="auto"/>
          <w:color w:val="auto"/>
        </w:rPr>
        <w:t>Covenants.</w:t>
      </w:r>
      <w:r>
        <w:rPr>
          <w:rFonts w:ascii="Times New Roman" w:cs="Times New Roman" w:eastAsia="Times New Roman" w:hAnsi="Times New Roman"/>
          <w:sz w:val="13"/>
          <w:szCs w:val="13"/>
          <w:color w:val="auto"/>
        </w:rPr>
        <w:t xml:space="preserve"> During the term of this Agreement the Manager shall:</w:t>
      </w:r>
    </w:p>
    <w:p>
      <w:pPr>
        <w:spacing w:after="0" w:line="170" w:lineRule="exact"/>
        <w:rPr>
          <w:sz w:val="20"/>
          <w:szCs w:val="20"/>
          <w:color w:val="auto"/>
        </w:rPr>
      </w:pPr>
    </w:p>
    <w:p>
      <w:pPr>
        <w:ind w:left="1440" w:hanging="482"/>
        <w:spacing w:after="0" w:line="293" w:lineRule="auto"/>
        <w:tabs>
          <w:tab w:leader="none" w:pos="1440"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diligently provide or subcontract for the provision of (in accordance with Section 18 hereof) the Services to the Owner as an independent contractor, and be responsible to the Owner for the due and proper performance of same;</w:t>
      </w:r>
    </w:p>
    <w:p>
      <w:pPr>
        <w:spacing w:after="0" w:line="2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88" w:name="page189"/>
    <w:bookmarkEnd w:id="188"/>
    <w:p>
      <w:pPr>
        <w:ind w:left="1440" w:hanging="482"/>
        <w:spacing w:after="0"/>
        <w:tabs>
          <w:tab w:leader="none" w:pos="1440" w:val="left"/>
        </w:tabs>
        <w:numPr>
          <w:ilvl w:val="0"/>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retain at all times a qualified staff so as to maintain a level of expertise sufficient to provide the Services; and</w:t>
      </w:r>
    </w:p>
    <w:p>
      <w:pPr>
        <w:spacing w:after="0" w:line="169" w:lineRule="exact"/>
        <w:rPr>
          <w:rFonts w:ascii="Times New Roman" w:cs="Times New Roman" w:eastAsia="Times New Roman" w:hAnsi="Times New Roman"/>
          <w:sz w:val="13"/>
          <w:szCs w:val="13"/>
          <w:color w:val="auto"/>
        </w:rPr>
      </w:pPr>
    </w:p>
    <w:p>
      <w:pPr>
        <w:ind w:left="1440" w:hanging="482"/>
        <w:spacing w:after="0" w:line="293" w:lineRule="auto"/>
        <w:tabs>
          <w:tab w:leader="none" w:pos="1440" w:val="left"/>
        </w:tabs>
        <w:numPr>
          <w:ilvl w:val="0"/>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keep full and proper books, records and accounts showing clearly all transactions relating to its provision of Services in accordance with established general commercial practices and in accordance with United States generally accepted accounting principles.</w:t>
      </w:r>
    </w:p>
    <w:p>
      <w:pPr>
        <w:spacing w:after="0" w:line="114" w:lineRule="exact"/>
        <w:rPr>
          <w:sz w:val="20"/>
          <w:szCs w:val="20"/>
          <w:color w:val="auto"/>
        </w:rPr>
      </w:pPr>
    </w:p>
    <w:p>
      <w:pPr>
        <w:jc w:val="both"/>
        <w:ind w:firstLine="958"/>
        <w:spacing w:after="0" w:line="293" w:lineRule="auto"/>
        <w:rPr>
          <w:sz w:val="20"/>
          <w:szCs w:val="20"/>
          <w:color w:val="auto"/>
        </w:rPr>
      </w:pPr>
      <w:r>
        <w:rPr>
          <w:rFonts w:ascii="Times New Roman" w:cs="Times New Roman" w:eastAsia="Times New Roman" w:hAnsi="Times New Roman"/>
          <w:sz w:val="13"/>
          <w:szCs w:val="13"/>
          <w:color w:val="auto"/>
        </w:rPr>
        <w:t xml:space="preserve">Section 4. </w:t>
      </w:r>
      <w:r>
        <w:rPr>
          <w:rFonts w:ascii="Times New Roman" w:cs="Times New Roman" w:eastAsia="Times New Roman" w:hAnsi="Times New Roman"/>
          <w:sz w:val="13"/>
          <w:szCs w:val="13"/>
          <w:u w:val="single" w:color="auto"/>
          <w:color w:val="auto"/>
        </w:rPr>
        <w:t>Non-exclusivity.</w:t>
      </w:r>
      <w:r>
        <w:rPr>
          <w:rFonts w:ascii="Times New Roman" w:cs="Times New Roman" w:eastAsia="Times New Roman" w:hAnsi="Times New Roman"/>
          <w:sz w:val="13"/>
          <w:szCs w:val="13"/>
          <w:color w:val="auto"/>
        </w:rPr>
        <w:t xml:space="preserve"> The Manager and its employees may provide services of a nature similar to the Services to any other person. There is no obligation for the Manager to provide the Services to the Owner on an exclusive basis.</w:t>
      </w:r>
    </w:p>
    <w:p>
      <w:pPr>
        <w:spacing w:after="0" w:line="114" w:lineRule="exact"/>
        <w:rPr>
          <w:sz w:val="20"/>
          <w:szCs w:val="20"/>
          <w:color w:val="auto"/>
        </w:rPr>
      </w:pPr>
    </w:p>
    <w:p>
      <w:pPr>
        <w:jc w:val="both"/>
        <w:ind w:firstLine="958"/>
        <w:spacing w:after="0" w:line="268" w:lineRule="auto"/>
        <w:rPr>
          <w:sz w:val="20"/>
          <w:szCs w:val="20"/>
          <w:color w:val="auto"/>
        </w:rPr>
      </w:pPr>
      <w:r>
        <w:rPr>
          <w:rFonts w:ascii="Times New Roman" w:cs="Times New Roman" w:eastAsia="Times New Roman" w:hAnsi="Times New Roman"/>
          <w:sz w:val="13"/>
          <w:szCs w:val="13"/>
          <w:color w:val="auto"/>
        </w:rPr>
        <w:t xml:space="preserve">Section 5. </w:t>
      </w:r>
      <w:r>
        <w:rPr>
          <w:rFonts w:ascii="Times New Roman" w:cs="Times New Roman" w:eastAsia="Times New Roman" w:hAnsi="Times New Roman"/>
          <w:sz w:val="13"/>
          <w:szCs w:val="13"/>
          <w:u w:val="single" w:color="auto"/>
          <w:color w:val="auto"/>
        </w:rPr>
        <w:t>Confidential Information.</w:t>
      </w:r>
      <w:r>
        <w:rPr>
          <w:rFonts w:ascii="Times New Roman" w:cs="Times New Roman" w:eastAsia="Times New Roman" w:hAnsi="Times New Roman"/>
          <w:sz w:val="13"/>
          <w:szCs w:val="13"/>
          <w:color w:val="auto"/>
        </w:rPr>
        <w:t xml:space="preserve"> The Manager shall be obligated to keep confidential, both during and after the term of this Agreement, all information it has acquired or developed in the course of providing Services under this Agreement. The Owner shall be entitled to any equitable remedy available at law or equity, including specific performance, against a breach by the Manager or any of its employees of this obligation. The Manager shall not resist such application for relief on the basis that the Owner has an adequate remedy at law, and the Manager shall waive any requirement for the securing or posting of any bond in connection with such remedy.</w:t>
      </w:r>
    </w:p>
    <w:p>
      <w:pPr>
        <w:spacing w:after="0" w:line="13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 xml:space="preserve">Section 6. </w:t>
      </w:r>
      <w:r>
        <w:rPr>
          <w:rFonts w:ascii="Times New Roman" w:cs="Times New Roman" w:eastAsia="Times New Roman" w:hAnsi="Times New Roman"/>
          <w:sz w:val="13"/>
          <w:szCs w:val="13"/>
          <w:u w:val="single" w:color="auto"/>
          <w:color w:val="auto"/>
        </w:rPr>
        <w:t>Service Fee.</w:t>
      </w:r>
      <w:r>
        <w:rPr>
          <w:rFonts w:ascii="Times New Roman" w:cs="Times New Roman" w:eastAsia="Times New Roman" w:hAnsi="Times New Roman"/>
          <w:sz w:val="13"/>
          <w:szCs w:val="13"/>
          <w:color w:val="auto"/>
        </w:rPr>
        <w:t xml:space="preserve"> In consideration for the Manager providing the Services, the Owner shall pay the Manager the Fees and reimburse the Costs and Expenses as set out in Schedule “C” to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Agreement.</w:t>
      </w:r>
    </w:p>
    <w:p>
      <w:pPr>
        <w:spacing w:after="0" w:line="157" w:lineRule="exact"/>
        <w:rPr>
          <w:sz w:val="20"/>
          <w:szCs w:val="20"/>
          <w:color w:val="auto"/>
        </w:rPr>
      </w:pPr>
    </w:p>
    <w:p>
      <w:pPr>
        <w:jc w:val="both"/>
        <w:ind w:firstLine="958"/>
        <w:spacing w:after="0" w:line="293" w:lineRule="auto"/>
        <w:rPr>
          <w:sz w:val="20"/>
          <w:szCs w:val="20"/>
          <w:color w:val="auto"/>
        </w:rPr>
      </w:pPr>
      <w:r>
        <w:rPr>
          <w:rFonts w:ascii="Times New Roman" w:cs="Times New Roman" w:eastAsia="Times New Roman" w:hAnsi="Times New Roman"/>
          <w:sz w:val="13"/>
          <w:szCs w:val="13"/>
          <w:color w:val="auto"/>
        </w:rPr>
        <w:t xml:space="preserve">Section 7. </w:t>
      </w:r>
      <w:r>
        <w:rPr>
          <w:rFonts w:ascii="Times New Roman" w:cs="Times New Roman" w:eastAsia="Times New Roman" w:hAnsi="Times New Roman"/>
          <w:sz w:val="13"/>
          <w:szCs w:val="13"/>
          <w:u w:val="single" w:color="auto"/>
          <w:color w:val="auto"/>
        </w:rPr>
        <w:t>General Relationship Between The Parties.</w:t>
      </w:r>
      <w:r>
        <w:rPr>
          <w:rFonts w:ascii="Times New Roman" w:cs="Times New Roman" w:eastAsia="Times New Roman" w:hAnsi="Times New Roman"/>
          <w:sz w:val="13"/>
          <w:szCs w:val="13"/>
          <w:color w:val="auto"/>
        </w:rPr>
        <w:t xml:space="preserve"> The relationship between the parties is that of independent contractor. The parties to this Agreement do not intend, and nothing herein shall be interpreted so as, to create a partnership, joint venture, employee or agency relationship between the Manager and the Owner.</w:t>
      </w:r>
    </w:p>
    <w:p>
      <w:pPr>
        <w:spacing w:after="0" w:line="1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 xml:space="preserve">Section 8. </w:t>
      </w:r>
      <w:r>
        <w:rPr>
          <w:rFonts w:ascii="Times New Roman" w:cs="Times New Roman" w:eastAsia="Times New Roman" w:hAnsi="Times New Roman"/>
          <w:sz w:val="13"/>
          <w:szCs w:val="13"/>
          <w:u w:val="single" w:color="auto"/>
          <w:color w:val="auto"/>
        </w:rPr>
        <w:t>Force Majeure and Indemnity.</w:t>
      </w:r>
    </w:p>
    <w:p>
      <w:pPr>
        <w:spacing w:after="0" w:line="170" w:lineRule="exact"/>
        <w:rPr>
          <w:sz w:val="20"/>
          <w:szCs w:val="20"/>
          <w:color w:val="auto"/>
        </w:rPr>
      </w:pPr>
    </w:p>
    <w:p>
      <w:pPr>
        <w:ind w:left="1440" w:hanging="482"/>
        <w:spacing w:after="0" w:line="293" w:lineRule="auto"/>
        <w:tabs>
          <w:tab w:leader="none" w:pos="1563" w:val="left"/>
        </w:tabs>
        <w:numPr>
          <w:ilvl w:val="0"/>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Owner nor the Manager shall be under any liability for any failure to perform any of their obligations hereunder by reason of any cause whatsoever of any nature or kind beyond their reasonable control.</w:t>
      </w:r>
    </w:p>
    <w:p>
      <w:pPr>
        <w:spacing w:after="0" w:line="114" w:lineRule="exact"/>
        <w:rPr>
          <w:rFonts w:ascii="Times New Roman" w:cs="Times New Roman" w:eastAsia="Times New Roman" w:hAnsi="Times New Roman"/>
          <w:sz w:val="13"/>
          <w:szCs w:val="13"/>
          <w:color w:val="auto"/>
        </w:rPr>
      </w:pPr>
    </w:p>
    <w:p>
      <w:pPr>
        <w:jc w:val="both"/>
        <w:ind w:left="1440" w:hanging="482"/>
        <w:spacing w:after="0" w:line="263" w:lineRule="auto"/>
        <w:tabs>
          <w:tab w:leader="none" w:pos="1543" w:val="left"/>
        </w:tabs>
        <w:numPr>
          <w:ilvl w:val="0"/>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Manager shall be under no liability whatsoever to the Owner for any loss, damage, delay or expense of whatsoever nature, whether direct or indirect, (including but not limited to loss of profit arising out of or in connection with detention of or delay to the Vessel) and howsoever arising in the course of performance of the Services UNLESS and to the extent that such loss, damage, delay or expense is proved to have resulted primarily from the fraud, gross negligence or willful misconduct of the Manager or its employees or agents in connection with the Vessel, in which case (save where such loss, damage, delay or expense has resulted from the Manager’s or any of its employees’ or agents’ personal act or omission committed with the intent to cause same or recklessly and with knowledge that such loss, damage, delay or expense would probably result) the Manager’s liability for each incident or series of incidents giving rise to a claim or claims shall never exceed a total of US$3,000,000.</w:t>
      </w:r>
    </w:p>
    <w:p>
      <w:pPr>
        <w:spacing w:after="0" w:line="1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66" w:right="319" w:bottom="1440" w:gutter="0" w:footer="0" w:header="0"/>
        </w:sectPr>
      </w:pPr>
    </w:p>
    <w:bookmarkStart w:id="189" w:name="page190"/>
    <w:bookmarkEnd w:id="189"/>
    <w:p>
      <w:pPr>
        <w:ind w:left="482" w:hanging="482"/>
        <w:spacing w:after="0" w:line="293" w:lineRule="auto"/>
        <w:tabs>
          <w:tab w:leader="none" w:pos="562"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that may appear to the contrary in this Agreement, the Manager shall not be responsible for any of the actions of the crew of the Vessel even if such actions are negligent, grossly negligent or willful.</w:t>
      </w:r>
    </w:p>
    <w:p>
      <w:pPr>
        <w:spacing w:after="0" w:line="114" w:lineRule="exact"/>
        <w:rPr>
          <w:rFonts w:ascii="Times New Roman" w:cs="Times New Roman" w:eastAsia="Times New Roman" w:hAnsi="Times New Roman"/>
          <w:sz w:val="13"/>
          <w:szCs w:val="13"/>
          <w:color w:val="auto"/>
        </w:rPr>
      </w:pPr>
    </w:p>
    <w:p>
      <w:pPr>
        <w:jc w:val="both"/>
        <w:ind w:left="482" w:hanging="482"/>
        <w:spacing w:after="0" w:line="263" w:lineRule="auto"/>
        <w:tabs>
          <w:tab w:leader="none" w:pos="671"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Owner shall indemnify and hold harmless the Manager and its employees against all actions, proceedings, claims, demands or liabilities which may be brought against them arising out of, relating to or based upon this Agreement including, without limitation, all actions, proceedings, claims, demands or liabilities brought under or relating to the environmental laws, regulations or conventions of any jurisdiction (“</w:t>
      </w:r>
      <w:r>
        <w:rPr>
          <w:rFonts w:ascii="Times New Roman" w:cs="Times New Roman" w:eastAsia="Times New Roman" w:hAnsi="Times New Roman"/>
          <w:sz w:val="13"/>
          <w:szCs w:val="13"/>
          <w:u w:val="single" w:color="auto"/>
          <w:color w:val="auto"/>
        </w:rPr>
        <w:t>Environmental Laws</w:t>
      </w:r>
      <w:r>
        <w:rPr>
          <w:rFonts w:ascii="Times New Roman" w:cs="Times New Roman" w:eastAsia="Times New Roman" w:hAnsi="Times New Roman"/>
          <w:sz w:val="13"/>
          <w:szCs w:val="13"/>
          <w:color w:val="auto"/>
        </w:rPr>
        <w:t>”), or otherwise relating to pollution or the environment, and against and in respect of all costs and expenses (including legal costs and expenses on a full indemnity basis) they may suffer or incur due to defending or settling same, provided however that such indemnity shall exclude any or all losses, actions, proceedings, claims, demands, costs, damages, expenses and liabilities whatsoever which may be caused by or due to (A) the fraud, gross negligence or willful misconduct of the Manager or its employees or agents, or (B) any breach of this Agreement by the Manager.</w:t>
      </w:r>
    </w:p>
    <w:p>
      <w:pPr>
        <w:spacing w:after="0" w:line="134" w:lineRule="exact"/>
        <w:rPr>
          <w:rFonts w:ascii="Times New Roman" w:cs="Times New Roman" w:eastAsia="Times New Roman" w:hAnsi="Times New Roman"/>
          <w:sz w:val="13"/>
          <w:szCs w:val="13"/>
          <w:color w:val="auto"/>
        </w:rPr>
      </w:pPr>
    </w:p>
    <w:p>
      <w:pPr>
        <w:jc w:val="both"/>
        <w:ind w:left="482" w:hanging="482"/>
        <w:spacing w:after="0" w:line="268" w:lineRule="auto"/>
        <w:tabs>
          <w:tab w:leader="none" w:pos="554"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Without prejudice to the general indemnity set out in this Section, the Owner hereby undertakes to indemnify the Manager, its employees, agents and sub-contractors against all taxes, imposts and duties levied by any government as a result of the operations of the Owner or the Vessel, whether or not such taxes, imposts and duties are levied on the Owner or the Manager. For the avoidance of doubt, such indemnity shall not apply to taxes imposed on amounts paid to the Manager as consideration for the performance of Services for the Owner. The Owner shall pay all taxes, dues or fines imposed on the Vessel or the Manager as a result of the operation of the Vessel.</w:t>
      </w:r>
    </w:p>
    <w:p>
      <w:pPr>
        <w:spacing w:after="0" w:line="130" w:lineRule="exact"/>
        <w:rPr>
          <w:rFonts w:ascii="Times New Roman" w:cs="Times New Roman" w:eastAsia="Times New Roman" w:hAnsi="Times New Roman"/>
          <w:sz w:val="13"/>
          <w:szCs w:val="13"/>
          <w:color w:val="auto"/>
        </w:rPr>
      </w:pPr>
    </w:p>
    <w:p>
      <w:pPr>
        <w:jc w:val="both"/>
        <w:ind w:left="482" w:hanging="482"/>
        <w:spacing w:after="0" w:line="264" w:lineRule="auto"/>
        <w:tabs>
          <w:tab w:leader="none" w:pos="607"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is hereby expressly agreed that no employee or agent of the Manager (including any sub-contractor from time to time employed by the Manager and the employees of such sub-contractors) shall in any circumstances whatsoever be under any liability whatsoever to the Owner for any loss, damage or delay of whatsoever kind arising or resulting directly or indirectly from any act, neglect or default on his part while acting in the course of or in connection with his employment and, without prejudice to the generality of the foregoing provisions in this Section, every exemption, limitation, condition and liberty herein contained and every right, exemption from liability, defense and immunity of whatsoever nature applicable to the Manager or to which the Manager are entitled hereunder shall also be available and shall extend to protect every such employee or agent of the Manager acting as aforesaid.</w:t>
      </w:r>
    </w:p>
    <w:p>
      <w:pPr>
        <w:spacing w:after="0" w:line="295" w:lineRule="exact"/>
        <w:rPr>
          <w:rFonts w:ascii="Times New Roman" w:cs="Times New Roman" w:eastAsia="Times New Roman" w:hAnsi="Times New Roman"/>
          <w:sz w:val="13"/>
          <w:szCs w:val="13"/>
          <w:color w:val="auto"/>
        </w:rPr>
      </w:pPr>
    </w:p>
    <w:p>
      <w:pPr>
        <w:jc w:val="both"/>
        <w:ind w:left="482" w:hanging="482"/>
        <w:spacing w:after="0" w:line="274" w:lineRule="auto"/>
        <w:tabs>
          <w:tab w:leader="none" w:pos="558"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Owner acknowledges that it is aware that the Manager is unable to confirm that the Vessel, her systems, equipment and machinery are free from defects, and agrees that the Manager shall not under any circumstances be liable for any losses, costs, claims, liabilities and expenses which the Owner may suffer or incur resulting from pre-existing or latent deficiencies in the Vessel, her systems, equipment and machinery</w:t>
      </w:r>
      <w:r>
        <w:rPr>
          <w:rFonts w:ascii="Times New Roman" w:cs="Times New Roman" w:eastAsia="Times New Roman" w:hAnsi="Times New Roman"/>
          <w:sz w:val="13"/>
          <w:szCs w:val="13"/>
          <w:i w:val="1"/>
          <w:iCs w:val="1"/>
          <w:color w:val="auto"/>
        </w:rPr>
        <w:t>.</w:t>
      </w:r>
    </w:p>
    <w:p>
      <w:pPr>
        <w:spacing w:after="0" w:line="127" w:lineRule="exact"/>
        <w:rPr>
          <w:sz w:val="20"/>
          <w:szCs w:val="20"/>
          <w:color w:val="auto"/>
        </w:rPr>
      </w:pPr>
    </w:p>
    <w:p>
      <w:pPr>
        <w:ind w:left="4682"/>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14605</wp:posOffset>
            </wp:positionV>
            <wp:extent cx="7167880"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0322"/>
          </w:cols>
          <w:pgMar w:left="1258" w:top="546" w:right="319" w:bottom="1440" w:gutter="0" w:footer="0" w:header="0"/>
        </w:sectPr>
      </w:pPr>
    </w:p>
    <w:bookmarkStart w:id="190" w:name="page191"/>
    <w:bookmarkEnd w:id="190"/>
    <w:p>
      <w:pPr>
        <w:ind w:left="960"/>
        <w:spacing w:after="0"/>
        <w:rPr>
          <w:sz w:val="20"/>
          <w:szCs w:val="20"/>
          <w:color w:val="auto"/>
        </w:rPr>
      </w:pPr>
      <w:r>
        <w:rPr>
          <w:rFonts w:ascii="Times New Roman" w:cs="Times New Roman" w:eastAsia="Times New Roman" w:hAnsi="Times New Roman"/>
          <w:sz w:val="13"/>
          <w:szCs w:val="13"/>
          <w:color w:val="auto"/>
        </w:rPr>
        <w:t>The provisions of this Section 8 shall remain in force notwithstanding termination of this Agreement.</w:t>
      </w:r>
    </w:p>
    <w:p>
      <w:pPr>
        <w:spacing w:after="0" w:line="170" w:lineRule="exact"/>
        <w:rPr>
          <w:sz w:val="20"/>
          <w:szCs w:val="20"/>
          <w:color w:val="auto"/>
        </w:rPr>
      </w:pPr>
    </w:p>
    <w:p>
      <w:pPr>
        <w:ind w:firstLine="958"/>
        <w:spacing w:after="0" w:line="293" w:lineRule="auto"/>
        <w:rPr>
          <w:sz w:val="20"/>
          <w:szCs w:val="20"/>
          <w:color w:val="auto"/>
        </w:rPr>
      </w:pPr>
      <w:r>
        <w:rPr>
          <w:rFonts w:ascii="Times New Roman" w:cs="Times New Roman" w:eastAsia="Times New Roman" w:hAnsi="Times New Roman"/>
          <w:sz w:val="13"/>
          <w:szCs w:val="13"/>
          <w:color w:val="auto"/>
        </w:rPr>
        <w:t xml:space="preserve">Section 9. </w:t>
      </w:r>
      <w:r>
        <w:rPr>
          <w:rFonts w:ascii="Times New Roman" w:cs="Times New Roman" w:eastAsia="Times New Roman" w:hAnsi="Times New Roman"/>
          <w:sz w:val="13"/>
          <w:szCs w:val="13"/>
          <w:u w:val="single" w:color="auto"/>
          <w:color w:val="auto"/>
        </w:rPr>
        <w:t>Term And Termination.</w:t>
      </w:r>
      <w:r>
        <w:rPr>
          <w:rFonts w:ascii="Times New Roman" w:cs="Times New Roman" w:eastAsia="Times New Roman" w:hAnsi="Times New Roman"/>
          <w:sz w:val="13"/>
          <w:szCs w:val="13"/>
          <w:color w:val="auto"/>
        </w:rPr>
        <w:t xml:space="preserve"> With respect to the Vessel, this Agreement shall commence from the date of this Agreement and will continue for approximately five years, unless terminated by either party hereto on not less than one hundred and twenty (120) days’ notice if:</w:t>
      </w:r>
    </w:p>
    <w:p>
      <w:pPr>
        <w:spacing w:after="0" w:line="114" w:lineRule="exact"/>
        <w:rPr>
          <w:sz w:val="20"/>
          <w:szCs w:val="20"/>
          <w:color w:val="auto"/>
        </w:rPr>
      </w:pPr>
    </w:p>
    <w:p>
      <w:pPr>
        <w:ind w:left="1140" w:hanging="182"/>
        <w:spacing w:after="0"/>
        <w:tabs>
          <w:tab w:leader="none" w:pos="1140"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the Owner, there is a Change of Control of the Manager and in the case of the Manager, if there is a Change of Control of the Owner;</w:t>
      </w:r>
    </w:p>
    <w:p>
      <w:pPr>
        <w:spacing w:after="0" w:line="169" w:lineRule="exact"/>
        <w:rPr>
          <w:rFonts w:ascii="Times New Roman" w:cs="Times New Roman" w:eastAsia="Times New Roman" w:hAnsi="Times New Roman"/>
          <w:sz w:val="13"/>
          <w:szCs w:val="13"/>
          <w:color w:val="auto"/>
        </w:rPr>
      </w:pPr>
    </w:p>
    <w:p>
      <w:pPr>
        <w:ind w:left="1140" w:hanging="182"/>
        <w:spacing w:after="0"/>
        <w:tabs>
          <w:tab w:leader="none" w:pos="1140"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other party breaches this Agreement;</w:t>
      </w:r>
    </w:p>
    <w:p>
      <w:pPr>
        <w:spacing w:after="0" w:line="169" w:lineRule="exact"/>
        <w:rPr>
          <w:rFonts w:ascii="Times New Roman" w:cs="Times New Roman" w:eastAsia="Times New Roman" w:hAnsi="Times New Roman"/>
          <w:sz w:val="13"/>
          <w:szCs w:val="13"/>
          <w:color w:val="auto"/>
        </w:rPr>
      </w:pPr>
    </w:p>
    <w:p>
      <w:pPr>
        <w:ind w:left="1140" w:hanging="182"/>
        <w:spacing w:after="0"/>
        <w:tabs>
          <w:tab w:leader="none" w:pos="1140"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receiver is appointed for all or substantially all of the property of the other party;</w:t>
      </w:r>
    </w:p>
    <w:p>
      <w:pPr>
        <w:spacing w:after="0" w:line="169" w:lineRule="exact"/>
        <w:rPr>
          <w:rFonts w:ascii="Times New Roman" w:cs="Times New Roman" w:eastAsia="Times New Roman" w:hAnsi="Times New Roman"/>
          <w:sz w:val="13"/>
          <w:szCs w:val="13"/>
          <w:color w:val="auto"/>
        </w:rPr>
      </w:pPr>
    </w:p>
    <w:p>
      <w:pPr>
        <w:ind w:left="1140" w:hanging="182"/>
        <w:spacing w:after="0"/>
        <w:tabs>
          <w:tab w:leader="none" w:pos="1140"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order is made to wind-up the other party;</w:t>
      </w:r>
    </w:p>
    <w:p>
      <w:pPr>
        <w:spacing w:after="0" w:line="169" w:lineRule="exact"/>
        <w:rPr>
          <w:rFonts w:ascii="Times New Roman" w:cs="Times New Roman" w:eastAsia="Times New Roman" w:hAnsi="Times New Roman"/>
          <w:sz w:val="13"/>
          <w:szCs w:val="13"/>
          <w:color w:val="auto"/>
        </w:rPr>
      </w:pPr>
    </w:p>
    <w:p>
      <w:pPr>
        <w:ind w:left="960" w:hanging="2"/>
        <w:spacing w:after="0" w:line="293" w:lineRule="auto"/>
        <w:tabs>
          <w:tab w:leader="none" w:pos="1149"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final judgment, order or decree which materially and adversely affects the ability of the other party to perform this Agreement shall have been obtained or entered against that party and such judgment, order or decree shall not have been vacated, discharged or stayed; or</w:t>
      </w:r>
    </w:p>
    <w:p>
      <w:pPr>
        <w:spacing w:after="0" w:line="114" w:lineRule="exact"/>
        <w:rPr>
          <w:rFonts w:ascii="Times New Roman" w:cs="Times New Roman" w:eastAsia="Times New Roman" w:hAnsi="Times New Roman"/>
          <w:sz w:val="13"/>
          <w:szCs w:val="13"/>
          <w:color w:val="auto"/>
        </w:rPr>
      </w:pPr>
    </w:p>
    <w:p>
      <w:pPr>
        <w:ind w:left="960" w:hanging="2"/>
        <w:spacing w:after="0" w:line="293" w:lineRule="auto"/>
        <w:tabs>
          <w:tab w:leader="none" w:pos="1128"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other party makes a general assignment for the benefit of its creditors, files a petition in bankruptcy or for liquidation, is adjudged insolvent or bankrupt, commences any proceeding for a reorganization or arrangement of debts, dissolution or liquidation under any law or statute or of any jurisdiction applicable thereto or if any such proceeding shall be commenced.</w:t>
      </w:r>
    </w:p>
    <w:p>
      <w:pPr>
        <w:spacing w:after="0" w:line="114" w:lineRule="exact"/>
        <w:rPr>
          <w:sz w:val="20"/>
          <w:szCs w:val="20"/>
          <w:color w:val="auto"/>
        </w:rPr>
      </w:pPr>
    </w:p>
    <w:p>
      <w:pPr>
        <w:jc w:val="both"/>
        <w:ind w:firstLine="958"/>
        <w:spacing w:after="0" w:line="274" w:lineRule="auto"/>
        <w:rPr>
          <w:sz w:val="20"/>
          <w:szCs w:val="20"/>
          <w:color w:val="auto"/>
        </w:rPr>
      </w:pPr>
      <w:r>
        <w:rPr>
          <w:rFonts w:ascii="Times New Roman" w:cs="Times New Roman" w:eastAsia="Times New Roman" w:hAnsi="Times New Roman"/>
          <w:sz w:val="13"/>
          <w:szCs w:val="13"/>
          <w:color w:val="auto"/>
        </w:rPr>
        <w:t>The approximate termination date of this Agreement with respect to the Vessel is listed in Schedule “B” to this Agreement (the “</w:t>
      </w:r>
      <w:r>
        <w:rPr>
          <w:rFonts w:ascii="Times New Roman" w:cs="Times New Roman" w:eastAsia="Times New Roman" w:hAnsi="Times New Roman"/>
          <w:sz w:val="13"/>
          <w:szCs w:val="13"/>
          <w:u w:val="single" w:color="auto"/>
          <w:color w:val="auto"/>
        </w:rPr>
        <w:t>Date of Termination</w:t>
      </w:r>
      <w:r>
        <w:rPr>
          <w:rFonts w:ascii="Times New Roman" w:cs="Times New Roman" w:eastAsia="Times New Roman" w:hAnsi="Times New Roman"/>
          <w:sz w:val="13"/>
          <w:szCs w:val="13"/>
          <w:color w:val="auto"/>
        </w:rPr>
        <w:t>”) next to the Vessel’s name. This Agreement shall be deemed to be terminated with respect to the Vessel in the case of the sale of the Vessel or if she becomes a total loss or is declared as a constructive or compromised or arranged total loss or is requisitioned. Notwithstanding such deemed termination, any Fees or Costs and Expenses outstanding at the time of the sale or loss shall be paid in accordance with the provisions of this Agreement.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the purpose of this clause:</w:t>
      </w:r>
    </w:p>
    <w:p>
      <w:pPr>
        <w:spacing w:after="0" w:line="170" w:lineRule="exact"/>
        <w:rPr>
          <w:sz w:val="20"/>
          <w:szCs w:val="20"/>
          <w:color w:val="auto"/>
        </w:rPr>
      </w:pPr>
    </w:p>
    <w:p>
      <w:pPr>
        <w:ind w:left="1440" w:hanging="482"/>
        <w:spacing w:after="0" w:line="293" w:lineRule="auto"/>
        <w:tabs>
          <w:tab w:leader="none" w:pos="1593" w:val="left"/>
        </w:tabs>
        <w:numPr>
          <w:ilvl w:val="0"/>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upon which the Vessel is to be treated as having been sold or otherwise disposed of shall be the date on which the Owner ceases to be the legal owner of the Vessel, or the Vessel owning company, as the case may be;</w:t>
      </w:r>
    </w:p>
    <w:p>
      <w:pPr>
        <w:spacing w:after="0" w:line="114" w:lineRule="exact"/>
        <w:rPr>
          <w:rFonts w:ascii="Times New Roman" w:cs="Times New Roman" w:eastAsia="Times New Roman" w:hAnsi="Times New Roman"/>
          <w:sz w:val="13"/>
          <w:szCs w:val="13"/>
          <w:color w:val="auto"/>
        </w:rPr>
      </w:pPr>
    </w:p>
    <w:p>
      <w:pPr>
        <w:jc w:val="both"/>
        <w:ind w:left="1440" w:hanging="482"/>
        <w:spacing w:after="0" w:line="274" w:lineRule="auto"/>
        <w:tabs>
          <w:tab w:leader="none" w:pos="1636" w:val="left"/>
        </w:tabs>
        <w:numPr>
          <w:ilvl w:val="0"/>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Vessel shall not be deemed to be lost until either she has become an actual total loss or agreement has been reached with her underwriters in respect of her constructive, compromised or arranged total loss or if such agreement with her underwriters is not reached it is adjudged by a competent tribunal that a constructive loss of the Vessel has occurred or the Owner issue a notice of abandonment to the underwriters.</w:t>
      </w:r>
    </w:p>
    <w:p>
      <w:pPr>
        <w:spacing w:after="0" w:line="1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191" w:name="page192"/>
    <w:bookmarkEnd w:id="191"/>
    <w:p>
      <w:pPr>
        <w:ind w:left="960"/>
        <w:spacing w:after="0"/>
        <w:rPr>
          <w:sz w:val="20"/>
          <w:szCs w:val="20"/>
          <w:color w:val="auto"/>
        </w:rPr>
      </w:pPr>
      <w:r>
        <w:rPr>
          <w:rFonts w:ascii="Times New Roman" w:cs="Times New Roman" w:eastAsia="Times New Roman" w:hAnsi="Times New Roman"/>
          <w:sz w:val="13"/>
          <w:szCs w:val="13"/>
          <w:color w:val="auto"/>
        </w:rPr>
        <w:t>The termination of this Agreement shall be without prejudice to all rights accrued due between the parties prior to the date of termination.</w:t>
      </w:r>
    </w:p>
    <w:p>
      <w:pPr>
        <w:spacing w:after="0" w:line="170" w:lineRule="exact"/>
        <w:rPr>
          <w:sz w:val="20"/>
          <w:szCs w:val="20"/>
          <w:color w:val="auto"/>
        </w:rPr>
      </w:pPr>
    </w:p>
    <w:p>
      <w:pPr>
        <w:jc w:val="both"/>
        <w:ind w:firstLine="958"/>
        <w:spacing w:after="0" w:line="274" w:lineRule="auto"/>
        <w:rPr>
          <w:sz w:val="20"/>
          <w:szCs w:val="20"/>
          <w:color w:val="auto"/>
        </w:rPr>
      </w:pPr>
      <w:r>
        <w:rPr>
          <w:rFonts w:ascii="Times New Roman" w:cs="Times New Roman" w:eastAsia="Times New Roman" w:hAnsi="Times New Roman"/>
          <w:sz w:val="13"/>
          <w:szCs w:val="13"/>
          <w:color w:val="auto"/>
        </w:rPr>
        <w:t xml:space="preserve">Section 10. </w:t>
      </w:r>
      <w:r>
        <w:rPr>
          <w:rFonts w:ascii="Times New Roman" w:cs="Times New Roman" w:eastAsia="Times New Roman" w:hAnsi="Times New Roman"/>
          <w:sz w:val="13"/>
          <w:szCs w:val="13"/>
          <w:u w:val="single" w:color="auto"/>
          <w:color w:val="auto"/>
        </w:rPr>
        <w:t>Fees Upon Termination with respect to the Vessel.</w:t>
      </w:r>
      <w:r>
        <w:rPr>
          <w:rFonts w:ascii="Times New Roman" w:cs="Times New Roman" w:eastAsia="Times New Roman" w:hAnsi="Times New Roman"/>
          <w:sz w:val="13"/>
          <w:szCs w:val="13"/>
          <w:color w:val="auto"/>
        </w:rPr>
        <w:t xml:space="preserve"> Upon termination of this Agreement, the Fee shall be adjusted with respect to the Vessel as at the effective date of termination of this Agreement, based on the Fees set forth in Schedule “C” and all reimbursements due to the Manager shall be immediately payable. Any overpayment shall forthwith be refunded to the Owner and any underpayment shall forthwith be paid to the Manager.</w:t>
      </w:r>
    </w:p>
    <w:p>
      <w:pPr>
        <w:spacing w:after="0" w:line="127" w:lineRule="exact"/>
        <w:rPr>
          <w:sz w:val="20"/>
          <w:szCs w:val="20"/>
          <w:color w:val="auto"/>
        </w:rPr>
      </w:pPr>
    </w:p>
    <w:p>
      <w:pPr>
        <w:jc w:val="both"/>
        <w:ind w:firstLine="958"/>
        <w:spacing w:after="0" w:line="286" w:lineRule="auto"/>
        <w:rPr>
          <w:sz w:val="20"/>
          <w:szCs w:val="20"/>
          <w:color w:val="auto"/>
        </w:rPr>
      </w:pPr>
      <w:r>
        <w:rPr>
          <w:rFonts w:ascii="Times New Roman" w:cs="Times New Roman" w:eastAsia="Times New Roman" w:hAnsi="Times New Roman"/>
          <w:sz w:val="13"/>
          <w:szCs w:val="13"/>
          <w:color w:val="auto"/>
        </w:rPr>
        <w:t xml:space="preserve">Section 11. </w:t>
      </w:r>
      <w:r>
        <w:rPr>
          <w:rFonts w:ascii="Times New Roman" w:cs="Times New Roman" w:eastAsia="Times New Roman" w:hAnsi="Times New Roman"/>
          <w:sz w:val="13"/>
          <w:szCs w:val="13"/>
          <w:u w:val="single" w:color="auto"/>
          <w:color w:val="auto"/>
        </w:rPr>
        <w:t>Surrender Of Books And Records.</w:t>
      </w:r>
      <w:r>
        <w:rPr>
          <w:rFonts w:ascii="Times New Roman" w:cs="Times New Roman" w:eastAsia="Times New Roman" w:hAnsi="Times New Roman"/>
          <w:sz w:val="13"/>
          <w:szCs w:val="13"/>
          <w:color w:val="auto"/>
        </w:rPr>
        <w:t xml:space="preserve"> Upon termination of this Agreement, the Manager shall forthwith surrender to the Owner any and all books, records, documents and other property in the possession or control of the Manager relating to this Agreement and to the business, finance, technology, trademarks or affairs of the Owner and, except as required by law, shall not retain any copies of same.</w:t>
      </w:r>
    </w:p>
    <w:p>
      <w:pPr>
        <w:spacing w:after="0" w:line="282" w:lineRule="exact"/>
        <w:rPr>
          <w:sz w:val="20"/>
          <w:szCs w:val="20"/>
          <w:color w:val="auto"/>
        </w:rPr>
      </w:pPr>
    </w:p>
    <w:p>
      <w:pPr>
        <w:jc w:val="both"/>
        <w:ind w:firstLine="958"/>
        <w:spacing w:after="0" w:line="293" w:lineRule="auto"/>
        <w:rPr>
          <w:sz w:val="20"/>
          <w:szCs w:val="20"/>
          <w:color w:val="auto"/>
        </w:rPr>
      </w:pPr>
      <w:r>
        <w:rPr>
          <w:rFonts w:ascii="Times New Roman" w:cs="Times New Roman" w:eastAsia="Times New Roman" w:hAnsi="Times New Roman"/>
          <w:sz w:val="13"/>
          <w:szCs w:val="13"/>
          <w:color w:val="auto"/>
        </w:rPr>
        <w:t xml:space="preserve">Section 12. </w:t>
      </w:r>
      <w:r>
        <w:rPr>
          <w:rFonts w:ascii="Times New Roman" w:cs="Times New Roman" w:eastAsia="Times New Roman" w:hAnsi="Times New Roman"/>
          <w:sz w:val="13"/>
          <w:szCs w:val="13"/>
          <w:u w:val="single" w:color="auto"/>
          <w:color w:val="auto"/>
        </w:rPr>
        <w:t>Entire Agreement.</w:t>
      </w:r>
      <w:r>
        <w:rPr>
          <w:rFonts w:ascii="Times New Roman" w:cs="Times New Roman" w:eastAsia="Times New Roman" w:hAnsi="Times New Roman"/>
          <w:sz w:val="13"/>
          <w:szCs w:val="13"/>
          <w:color w:val="auto"/>
        </w:rPr>
        <w:t xml:space="preserve"> This Agreement constitutes the entire agreement and understanding between the parties with respect to the subject matter of this Agreement and (in relation to such subject matter) supersedes and replaces all prior understandings and agreements, written or oral, between the parties.</w:t>
      </w:r>
    </w:p>
    <w:p>
      <w:pPr>
        <w:spacing w:after="0" w:line="114" w:lineRule="exact"/>
        <w:rPr>
          <w:sz w:val="20"/>
          <w:szCs w:val="20"/>
          <w:color w:val="auto"/>
        </w:rPr>
      </w:pPr>
    </w:p>
    <w:p>
      <w:pPr>
        <w:jc w:val="both"/>
        <w:ind w:firstLine="958"/>
        <w:spacing w:after="0" w:line="274" w:lineRule="auto"/>
        <w:rPr>
          <w:sz w:val="20"/>
          <w:szCs w:val="20"/>
          <w:color w:val="auto"/>
        </w:rPr>
      </w:pPr>
      <w:r>
        <w:rPr>
          <w:rFonts w:ascii="Times New Roman" w:cs="Times New Roman" w:eastAsia="Times New Roman" w:hAnsi="Times New Roman"/>
          <w:sz w:val="13"/>
          <w:szCs w:val="13"/>
          <w:color w:val="auto"/>
        </w:rPr>
        <w:t xml:space="preserve">Section 13. </w:t>
      </w:r>
      <w:r>
        <w:rPr>
          <w:rFonts w:ascii="Times New Roman" w:cs="Times New Roman" w:eastAsia="Times New Roman" w:hAnsi="Times New Roman"/>
          <w:sz w:val="13"/>
          <w:szCs w:val="13"/>
          <w:u w:val="single" w:color="auto"/>
          <w:color w:val="auto"/>
        </w:rPr>
        <w:t>Amendments to Agreement.</w:t>
      </w:r>
      <w:r>
        <w:rPr>
          <w:rFonts w:ascii="Times New Roman" w:cs="Times New Roman" w:eastAsia="Times New Roman" w:hAnsi="Times New Roman"/>
          <w:sz w:val="13"/>
          <w:szCs w:val="13"/>
          <w:color w:val="auto"/>
        </w:rPr>
        <w:t xml:space="preserve"> The Manager reserves the right to make such changes to this Agreement as it reasonably shall consider necessary to take account of regulatory changes which come into force after the date hereof and which affect the operation of the Vessel. Such changes will be intimated in writing to the Owner and will come into force on intimation or on the date on which such regulatory or other changes come into effect (whichever shall be the later).</w:t>
      </w:r>
    </w:p>
    <w:p>
      <w:pPr>
        <w:spacing w:after="0" w:line="1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 xml:space="preserve">Section 14.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xml:space="preserve"> If any provision herein is held to be void or unenforceable, the validity and enforceability of the remaining provisions herein shall remain unaffected and enforceable.</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 xml:space="preserve">Section 15. </w:t>
      </w:r>
      <w:r>
        <w:rPr>
          <w:rFonts w:ascii="Times New Roman" w:cs="Times New Roman" w:eastAsia="Times New Roman" w:hAnsi="Times New Roman"/>
          <w:sz w:val="13"/>
          <w:szCs w:val="13"/>
          <w:u w:val="single" w:color="auto"/>
          <w:color w:val="auto"/>
        </w:rPr>
        <w:t>Currency.</w:t>
      </w:r>
      <w:r>
        <w:rPr>
          <w:rFonts w:ascii="Times New Roman" w:cs="Times New Roman" w:eastAsia="Times New Roman" w:hAnsi="Times New Roman"/>
          <w:sz w:val="13"/>
          <w:szCs w:val="13"/>
          <w:color w:val="auto"/>
        </w:rPr>
        <w:t xml:space="preserve"> Unless stated otherwise, all currency references herein are to United States Dollars.</w:t>
      </w:r>
    </w:p>
    <w:p>
      <w:pPr>
        <w:spacing w:after="0" w:line="170" w:lineRule="exact"/>
        <w:rPr>
          <w:sz w:val="20"/>
          <w:szCs w:val="20"/>
          <w:color w:val="auto"/>
        </w:rPr>
      </w:pPr>
    </w:p>
    <w:p>
      <w:pPr>
        <w:jc w:val="both"/>
        <w:ind w:firstLine="958"/>
        <w:spacing w:after="0" w:line="274" w:lineRule="auto"/>
        <w:rPr>
          <w:sz w:val="20"/>
          <w:szCs w:val="20"/>
          <w:color w:val="auto"/>
        </w:rPr>
      </w:pPr>
      <w:r>
        <w:rPr>
          <w:rFonts w:ascii="Times New Roman" w:cs="Times New Roman" w:eastAsia="Times New Roman" w:hAnsi="Times New Roman"/>
          <w:sz w:val="13"/>
          <w:szCs w:val="13"/>
          <w:color w:val="auto"/>
        </w:rPr>
        <w:t xml:space="preserve">Section 16. </w:t>
      </w:r>
      <w:r>
        <w:rPr>
          <w:rFonts w:ascii="Times New Roman" w:cs="Times New Roman" w:eastAsia="Times New Roman" w:hAnsi="Times New Roman"/>
          <w:sz w:val="13"/>
          <w:szCs w:val="13"/>
          <w:u w:val="single" w:color="auto"/>
          <w:color w:val="auto"/>
        </w:rPr>
        <w:t>Law And Arbitration.</w:t>
      </w:r>
      <w:r>
        <w:rPr>
          <w:rFonts w:ascii="Times New Roman" w:cs="Times New Roman" w:eastAsia="Times New Roman" w:hAnsi="Times New Roman"/>
          <w:sz w:val="13"/>
          <w:szCs w:val="13"/>
          <w:color w:val="auto"/>
        </w:rPr>
        <w:t xml:space="preserve"> This Agreement shall be governed by the laws of England. Any dispute under this Agreement shall be referred to arbitration in London in accordance with the Arbitration Act 1996 or any statutory modification or re-enactment then in force. The arbitration shall be conducted in accordance with the London Maritime Arbitrators’ (LMAA) Terms current at the time when the arbitration is commenced.</w:t>
      </w:r>
    </w:p>
    <w:p>
      <w:pPr>
        <w:spacing w:after="0" w:line="127" w:lineRule="exact"/>
        <w:rPr>
          <w:sz w:val="20"/>
          <w:szCs w:val="20"/>
          <w:color w:val="auto"/>
        </w:rPr>
      </w:pPr>
    </w:p>
    <w:p>
      <w:pPr>
        <w:jc w:val="both"/>
        <w:ind w:firstLine="283"/>
        <w:spacing w:after="0" w:line="265" w:lineRule="auto"/>
        <w:rPr>
          <w:sz w:val="20"/>
          <w:szCs w:val="20"/>
          <w:color w:val="auto"/>
        </w:rPr>
      </w:pPr>
      <w:r>
        <w:rPr>
          <w:rFonts w:ascii="Times New Roman" w:cs="Times New Roman" w:eastAsia="Times New Roman" w:hAnsi="Times New Roman"/>
          <w:sz w:val="13"/>
          <w:szCs w:val="13"/>
          <w:color w:val="auto"/>
        </w:rPr>
        <w:t>Save as after mentioned, the reference shall be to three arbitrators, one to be appointed by each party and the third by the two arbitrators so appointed. A party wishing to refer a dispute to arbitration shall appoint its arbitrator and send notice of such appointment to the other party requiring the other party to appoint its arbitrator within 14 calendar days of that notice and stating that it will appoint its arbitrator as sole arbitrator unless the other party appoints its own arbitrator and gives notice that it has done so within the 14 calendar days specified. If the other party does not appoint its own arbitrator and give notice that it has done so within the 14 calendar days specified, the party referring the dispute to arbitration may, without the requirement of any further prior notice to the other party, appoint its arbitrator as sole arbitrator and shall advise the other party accordingly. The award of a sole arbitrator shall be as binding as if he had been appointed by agreement.</w:t>
      </w:r>
    </w:p>
    <w:p>
      <w:pPr>
        <w:spacing w:after="0" w:line="1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192" w:name="page193"/>
    <w:bookmarkEnd w:id="192"/>
    <w:p>
      <w:pPr>
        <w:ind w:firstLine="283"/>
        <w:spacing w:after="0" w:line="293" w:lineRule="auto"/>
        <w:rPr>
          <w:sz w:val="20"/>
          <w:szCs w:val="20"/>
          <w:color w:val="auto"/>
        </w:rPr>
      </w:pPr>
      <w:r>
        <w:rPr>
          <w:rFonts w:ascii="Times New Roman" w:cs="Times New Roman" w:eastAsia="Times New Roman" w:hAnsi="Times New Roman"/>
          <w:sz w:val="13"/>
          <w:szCs w:val="13"/>
          <w:color w:val="auto"/>
        </w:rPr>
        <w:t>In cases where neither the claim nor any counterclaim exceeds the sum of US$50,000 (or such other sum as the parties may agree) the arbitration shall be conducted in accordance with the LMAA Small Claims Procedure current at the time when the arbitration proceedings are commenced.</w:t>
      </w:r>
    </w:p>
    <w:p>
      <w:pPr>
        <w:spacing w:after="0" w:line="1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 xml:space="preserve">Section 17. </w:t>
      </w:r>
      <w:r>
        <w:rPr>
          <w:rFonts w:ascii="Times New Roman" w:cs="Times New Roman" w:eastAsia="Times New Roman" w:hAnsi="Times New Roman"/>
          <w:sz w:val="13"/>
          <w:szCs w:val="13"/>
          <w:u w:val="single" w:color="auto"/>
          <w:color w:val="auto"/>
        </w:rPr>
        <w:t>Notice.</w:t>
      </w:r>
      <w:r>
        <w:rPr>
          <w:rFonts w:ascii="Times New Roman" w:cs="Times New Roman" w:eastAsia="Times New Roman" w:hAnsi="Times New Roman"/>
          <w:sz w:val="13"/>
          <w:szCs w:val="13"/>
          <w:color w:val="auto"/>
        </w:rPr>
        <w:t xml:space="preserve"> Notice under this Agreement shall be given (via hand delivery, courier or facsimile) as follows:</w:t>
      </w:r>
    </w:p>
    <w:p>
      <w:pPr>
        <w:spacing w:after="0" w:line="33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If to the Owner:</w:t>
      </w:r>
    </w:p>
    <w:p>
      <w:pPr>
        <w:spacing w:after="0" w:line="2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3 Iassonos Street</w:t>
      </w:r>
    </w:p>
    <w:p>
      <w:pPr>
        <w:spacing w:after="0" w:line="1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Piraeus, 18537, Greece</w:t>
      </w:r>
    </w:p>
    <w:p>
      <w:pPr>
        <w:spacing w:after="0" w:line="1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Attn: Director</w:t>
      </w:r>
    </w:p>
    <w:p>
      <w:pPr>
        <w:spacing w:after="0" w:line="1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Fax: +30 210 428 4285</w:t>
      </w:r>
    </w:p>
    <w:p>
      <w:pPr>
        <w:spacing w:after="0" w:line="3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If to the Manager:</w:t>
      </w:r>
    </w:p>
    <w:p>
      <w:pPr>
        <w:spacing w:after="0" w:line="2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3 Iassonos Street</w:t>
      </w:r>
    </w:p>
    <w:p>
      <w:pPr>
        <w:spacing w:after="0" w:line="1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Piraeus, 18537, Greece</w:t>
      </w:r>
    </w:p>
    <w:p>
      <w:pPr>
        <w:spacing w:after="0" w:line="1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Attn: Legal Representative</w:t>
      </w:r>
    </w:p>
    <w:p>
      <w:pPr>
        <w:spacing w:after="0" w:line="1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Fax: +30 210 428 5679</w:t>
      </w:r>
    </w:p>
    <w:p>
      <w:pPr>
        <w:spacing w:after="0" w:line="157" w:lineRule="exact"/>
        <w:rPr>
          <w:sz w:val="20"/>
          <w:szCs w:val="20"/>
          <w:color w:val="auto"/>
        </w:rPr>
      </w:pPr>
    </w:p>
    <w:p>
      <w:pPr>
        <w:ind w:firstLine="958"/>
        <w:spacing w:after="0" w:line="293" w:lineRule="auto"/>
        <w:rPr>
          <w:sz w:val="20"/>
          <w:szCs w:val="20"/>
          <w:color w:val="auto"/>
        </w:rPr>
      </w:pPr>
      <w:r>
        <w:rPr>
          <w:rFonts w:ascii="Times New Roman" w:cs="Times New Roman" w:eastAsia="Times New Roman" w:hAnsi="Times New Roman"/>
          <w:sz w:val="13"/>
          <w:szCs w:val="13"/>
          <w:color w:val="auto"/>
        </w:rPr>
        <w:t xml:space="preserve">Section 18. </w:t>
      </w:r>
      <w:r>
        <w:rPr>
          <w:rFonts w:ascii="Times New Roman" w:cs="Times New Roman" w:eastAsia="Times New Roman" w:hAnsi="Times New Roman"/>
          <w:sz w:val="13"/>
          <w:szCs w:val="13"/>
          <w:u w:val="single" w:color="auto"/>
          <w:color w:val="auto"/>
        </w:rPr>
        <w:t>Subcontracting And Assignment.</w:t>
      </w:r>
      <w:r>
        <w:rPr>
          <w:rFonts w:ascii="Times New Roman" w:cs="Times New Roman" w:eastAsia="Times New Roman" w:hAnsi="Times New Roman"/>
          <w:sz w:val="13"/>
          <w:szCs w:val="13"/>
          <w:color w:val="auto"/>
        </w:rPr>
        <w:t xml:space="preserve"> The Manager may freely sub-contract and sub-license this Agreement to any party, so long as the Manager remains liable for performance of the Services and its other obligations under this Agreement.</w:t>
      </w:r>
    </w:p>
    <w:p>
      <w:pPr>
        <w:spacing w:after="0" w:line="1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 xml:space="preserve">Section 19. </w:t>
      </w:r>
      <w:r>
        <w:rPr>
          <w:rFonts w:ascii="Times New Roman" w:cs="Times New Roman" w:eastAsia="Times New Roman" w:hAnsi="Times New Roman"/>
          <w:sz w:val="13"/>
          <w:szCs w:val="13"/>
          <w:u w:val="single" w:color="auto"/>
          <w:color w:val="auto"/>
        </w:rPr>
        <w:t>Waiver.</w:t>
      </w:r>
      <w:r>
        <w:rPr>
          <w:rFonts w:ascii="Times New Roman" w:cs="Times New Roman" w:eastAsia="Times New Roman" w:hAnsi="Times New Roman"/>
          <w:sz w:val="13"/>
          <w:szCs w:val="13"/>
          <w:color w:val="auto"/>
        </w:rPr>
        <w:t xml:space="preserve"> The failure of either party to enforce any term of this Agreement shall not act as a waiver. Any waiver must be specifically stated as such in writing.</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 xml:space="preserve">Section 20. </w:t>
      </w: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xml:space="preserve"> This Agreement may be executed in one or more signed counterparts, facsimile or otherwise, which shall together form one instrument.</w:t>
      </w:r>
    </w:p>
    <w:p>
      <w:pPr>
        <w:spacing w:after="0" w:line="1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3"/>
          <w:szCs w:val="13"/>
          <w:b w:val="1"/>
          <w:bCs w:val="1"/>
          <w:color w:val="auto"/>
        </w:rPr>
        <w:t>SCHEDULE A</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SERVICES</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The Manager shall provide such of the following commercial and technical management services (the “</w:t>
      </w:r>
      <w:r>
        <w:rPr>
          <w:rFonts w:ascii="Times New Roman" w:cs="Times New Roman" w:eastAsia="Times New Roman" w:hAnsi="Times New Roman"/>
          <w:sz w:val="13"/>
          <w:szCs w:val="13"/>
          <w:u w:val="single" w:color="auto"/>
          <w:color w:val="auto"/>
        </w:rPr>
        <w:t>Services</w:t>
      </w:r>
      <w:r>
        <w:rPr>
          <w:rFonts w:ascii="Times New Roman" w:cs="Times New Roman" w:eastAsia="Times New Roman" w:hAnsi="Times New Roman"/>
          <w:sz w:val="13"/>
          <w:szCs w:val="13"/>
          <w:color w:val="auto"/>
        </w:rPr>
        <w:t>”) to the Owner, as the latter from time to time request and direct the Manager to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provide:</w:t>
      </w:r>
    </w:p>
    <w:p>
      <w:pPr>
        <w:spacing w:after="0" w:line="157" w:lineRule="exact"/>
        <w:rPr>
          <w:sz w:val="20"/>
          <w:szCs w:val="20"/>
          <w:color w:val="auto"/>
        </w:rPr>
      </w:pPr>
    </w:p>
    <w:p>
      <w:pPr>
        <w:ind w:left="520" w:hanging="520"/>
        <w:spacing w:after="0"/>
        <w:tabs>
          <w:tab w:leader="none" w:pos="520"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Negotiating on behalf of the Owner time charters, bareboat charters, voyage charters and other employment contracts with respect to the Vessel and monitor payments thereunder;</w:t>
      </w:r>
    </w:p>
    <w:p>
      <w:pPr>
        <w:spacing w:after="0" w:line="169" w:lineRule="exact"/>
        <w:rPr>
          <w:rFonts w:ascii="Times New Roman" w:cs="Times New Roman" w:eastAsia="Times New Roman" w:hAnsi="Times New Roman"/>
          <w:sz w:val="13"/>
          <w:szCs w:val="13"/>
          <w:color w:val="auto"/>
        </w:rPr>
      </w:pPr>
    </w:p>
    <w:p>
      <w:pPr>
        <w:ind w:left="520" w:hanging="520"/>
        <w:spacing w:after="0"/>
        <w:tabs>
          <w:tab w:leader="none" w:pos="520"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Exercising of due diligence to:</w:t>
      </w:r>
    </w:p>
    <w:p>
      <w:pPr>
        <w:spacing w:after="0" w:line="169" w:lineRule="exact"/>
        <w:rPr>
          <w:rFonts w:ascii="Times New Roman" w:cs="Times New Roman" w:eastAsia="Times New Roman" w:hAnsi="Times New Roman"/>
          <w:sz w:val="13"/>
          <w:szCs w:val="13"/>
          <w:color w:val="auto"/>
        </w:rPr>
      </w:pPr>
    </w:p>
    <w:p>
      <w:pPr>
        <w:ind w:left="1380" w:hanging="422"/>
        <w:spacing w:after="0" w:line="293" w:lineRule="auto"/>
        <w:tabs>
          <w:tab w:leader="none" w:pos="1497"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maintain and preserve the Vessel and her equipment in full compliance with applicable rules and regulations, including Environmental Laws, good condition, running order and repair, so that the Vessel shall be, insofar as due diligence can make her, in every respect seaworthy and in good operating condition;</w:t>
      </w:r>
    </w:p>
    <w:p>
      <w:pPr>
        <w:spacing w:after="0" w:line="114" w:lineRule="exact"/>
        <w:rPr>
          <w:rFonts w:ascii="Times New Roman" w:cs="Times New Roman" w:eastAsia="Times New Roman" w:hAnsi="Times New Roman"/>
          <w:sz w:val="13"/>
          <w:szCs w:val="13"/>
          <w:color w:val="auto"/>
        </w:rPr>
      </w:pPr>
    </w:p>
    <w:p>
      <w:pPr>
        <w:ind w:left="1380" w:hanging="422"/>
        <w:spacing w:after="0" w:line="293" w:lineRule="auto"/>
        <w:tabs>
          <w:tab w:leader="none" w:pos="1476"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keep the Vessel in such condition as will entitle her to the highest classification and rating from the classification society chosen by the Owner or charterer for vessels of the class, age and type;</w:t>
      </w:r>
    </w:p>
    <w:p>
      <w:pPr>
        <w:spacing w:after="0" w:line="114" w:lineRule="exact"/>
        <w:rPr>
          <w:rFonts w:ascii="Times New Roman" w:cs="Times New Roman" w:eastAsia="Times New Roman" w:hAnsi="Times New Roman"/>
          <w:sz w:val="13"/>
          <w:szCs w:val="13"/>
          <w:color w:val="auto"/>
        </w:rPr>
      </w:pPr>
    </w:p>
    <w:p>
      <w:pPr>
        <w:jc w:val="both"/>
        <w:ind w:left="1380" w:hanging="422"/>
        <w:spacing w:after="0" w:line="268" w:lineRule="auto"/>
        <w:tabs>
          <w:tab w:leader="none" w:pos="1593"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prepare and obtain all necessary approvals for a shipboard oil pollution emergency plan (SOPEP) in a form approved by the Marine Environment Protection Committee of the International Maritime Organisation pursuant to the requirements of Regulation 26 of Annex I of the International Convention for the Prevention of Pollution from Ships, 1973, as modified by the Protocol of 1978 relating thereto, as amended (MARPOL 73/78), and provide assistance with respect to such other documentation and record-keeping requirements pursuant to applicable Environmental Laws;</w:t>
      </w:r>
    </w:p>
    <w:p>
      <w:pPr>
        <w:spacing w:after="0" w:line="130" w:lineRule="exact"/>
        <w:rPr>
          <w:rFonts w:ascii="Times New Roman" w:cs="Times New Roman" w:eastAsia="Times New Roman" w:hAnsi="Times New Roman"/>
          <w:sz w:val="13"/>
          <w:szCs w:val="13"/>
          <w:color w:val="auto"/>
        </w:rPr>
      </w:pPr>
    </w:p>
    <w:p>
      <w:pPr>
        <w:ind w:left="1380" w:hanging="422"/>
        <w:spacing w:after="0" w:line="293" w:lineRule="auto"/>
        <w:tabs>
          <w:tab w:leader="none" w:pos="1460"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arrange for the preparation, filing and updating of a contingency Vessel Response Plan in accordance with the requirements of the U.S. Oil Pollution Act of 1990 as amended (“OPA”), and instruct the crew in all aspects of the operation of such plan;</w:t>
      </w:r>
    </w:p>
    <w:p>
      <w:pPr>
        <w:spacing w:after="0" w:line="114" w:lineRule="exact"/>
        <w:rPr>
          <w:rFonts w:ascii="Times New Roman" w:cs="Times New Roman" w:eastAsia="Times New Roman" w:hAnsi="Times New Roman"/>
          <w:sz w:val="13"/>
          <w:szCs w:val="13"/>
          <w:color w:val="auto"/>
        </w:rPr>
      </w:pPr>
    </w:p>
    <w:p>
      <w:pPr>
        <w:jc w:val="both"/>
        <w:ind w:left="1380" w:hanging="422"/>
        <w:spacing w:after="0" w:line="268" w:lineRule="auto"/>
        <w:tabs>
          <w:tab w:leader="none" w:pos="1450"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inform the Owner promptly of any major release or discharge of oil or other hazardous material in compliance with law and identify and ensure the availability by contract or otherwise of a Qualified Individual, a Spill Management Team, an Oil Spill Removal Organisation (as such terms are defined by applicable Environmental Laws), and any other individual or entity required by Environmental Laws, resources having salvage, firefighting, lightering and, if applicable, dispersant capabilities, and public relations/media personnel to assist the Owner to deal with the media in the event of discharges of oil;</w:t>
      </w:r>
    </w:p>
    <w:p>
      <w:pPr>
        <w:spacing w:after="0" w:line="130" w:lineRule="exact"/>
        <w:rPr>
          <w:rFonts w:ascii="Times New Roman" w:cs="Times New Roman" w:eastAsia="Times New Roman" w:hAnsi="Times New Roman"/>
          <w:sz w:val="13"/>
          <w:szCs w:val="13"/>
          <w:color w:val="auto"/>
        </w:rPr>
      </w:pPr>
    </w:p>
    <w:p>
      <w:pPr>
        <w:jc w:val="both"/>
        <w:ind w:left="1380" w:hanging="422"/>
        <w:spacing w:after="0" w:line="274" w:lineRule="auto"/>
        <w:tabs>
          <w:tab w:leader="none" w:pos="1421"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arrange and procure for the vetting of the Vessel and the Owner or the Manager by major charterers and arranging and attending relevant inspections of the Vessel, including pre-vetting inspections, or visits at the premises of the Manager up to a maximum number of five inspection visits per year to be attended by the Manager, with additional visits to be for the account of the Owner; and</w:t>
      </w:r>
    </w:p>
    <w:p>
      <w:pPr>
        <w:spacing w:after="0" w:line="1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704" w:right="319" w:bottom="1440" w:gutter="0" w:footer="0" w:header="0"/>
        </w:sectPr>
      </w:pPr>
    </w:p>
    <w:bookmarkStart w:id="194" w:name="page195"/>
    <w:bookmarkEnd w:id="194"/>
    <w:p>
      <w:pPr>
        <w:ind w:left="1460" w:hanging="502"/>
        <w:spacing w:after="0"/>
        <w:tabs>
          <w:tab w:leader="none" w:pos="1460"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 copies of any vessel inspection reports, valuations, surveys or similar reports upon request.</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The Manager is expressly authorized as agents for the Owner to enter into such arrangements by contract or otherwise as are required to ensure the availability of the Services outlined above.</w:t>
      </w:r>
    </w:p>
    <w:p>
      <w:pPr>
        <w:spacing w:after="0" w:line="2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The Manager is further expressly authorized as agents for the Owner to enter into such other arrangements as may from time to time be necessary to satisfy the requirements of OPA or other</w:t>
      </w:r>
    </w:p>
    <w:p>
      <w:pPr>
        <w:spacing w:after="0" w:line="1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Federal or State laws;</w:t>
      </w:r>
    </w:p>
    <w:p>
      <w:pPr>
        <w:spacing w:after="0" w:line="157" w:lineRule="exact"/>
        <w:rPr>
          <w:sz w:val="20"/>
          <w:szCs w:val="20"/>
          <w:color w:val="auto"/>
        </w:rPr>
      </w:pPr>
    </w:p>
    <w:p>
      <w:pPr>
        <w:ind w:left="520" w:hanging="520"/>
        <w:spacing w:after="0"/>
        <w:tabs>
          <w:tab w:leader="none" w:pos="520"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Storing, victualing and supplying of the Vessel and the arranging for the purchase of certain day to day stores, supplies and parts;</w:t>
      </w:r>
    </w:p>
    <w:p>
      <w:pPr>
        <w:spacing w:after="0" w:line="169" w:lineRule="exact"/>
        <w:rPr>
          <w:rFonts w:ascii="Times New Roman" w:cs="Times New Roman" w:eastAsia="Times New Roman" w:hAnsi="Times New Roman"/>
          <w:sz w:val="13"/>
          <w:szCs w:val="13"/>
          <w:color w:val="auto"/>
        </w:rPr>
      </w:pPr>
    </w:p>
    <w:p>
      <w:pPr>
        <w:ind w:left="520" w:hanging="520"/>
        <w:spacing w:after="0"/>
        <w:tabs>
          <w:tab w:leader="none" w:pos="520"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Procuring and arrangement for port entrance and clearance, pilots, vessel agents, consular approvals, and other services necessary or desirable for the management and safe operation of the Vessel;</w:t>
      </w:r>
    </w:p>
    <w:p>
      <w:pPr>
        <w:spacing w:after="0" w:line="169" w:lineRule="exact"/>
        <w:rPr>
          <w:rFonts w:ascii="Times New Roman" w:cs="Times New Roman" w:eastAsia="Times New Roman" w:hAnsi="Times New Roman"/>
          <w:sz w:val="13"/>
          <w:szCs w:val="13"/>
          <w:color w:val="auto"/>
        </w:rPr>
      </w:pPr>
    </w:p>
    <w:p>
      <w:pPr>
        <w:ind w:left="520" w:hanging="520"/>
        <w:spacing w:after="0"/>
        <w:tabs>
          <w:tab w:leader="none" w:pos="520"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Preparing, issuing or causing to be issued to shippers the customary freight contract, cargo receipts and/or bills of lading;</w:t>
      </w:r>
    </w:p>
    <w:p>
      <w:pPr>
        <w:spacing w:after="0" w:line="169" w:lineRule="exact"/>
        <w:rPr>
          <w:rFonts w:ascii="Times New Roman" w:cs="Times New Roman" w:eastAsia="Times New Roman" w:hAnsi="Times New Roman"/>
          <w:sz w:val="13"/>
          <w:szCs w:val="13"/>
          <w:color w:val="auto"/>
        </w:rPr>
      </w:pPr>
    </w:p>
    <w:p>
      <w:pPr>
        <w:ind w:left="520" w:hanging="520"/>
        <w:spacing w:after="0"/>
        <w:tabs>
          <w:tab w:leader="none" w:pos="520"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Performance of all usual and customary duties concerned with the loading and discharging of cargoes at all ports;</w:t>
      </w:r>
    </w:p>
    <w:p>
      <w:pPr>
        <w:spacing w:after="0" w:line="169" w:lineRule="exact"/>
        <w:rPr>
          <w:rFonts w:ascii="Times New Roman" w:cs="Times New Roman" w:eastAsia="Times New Roman" w:hAnsi="Times New Roman"/>
          <w:sz w:val="13"/>
          <w:szCs w:val="13"/>
          <w:color w:val="auto"/>
        </w:rPr>
      </w:pPr>
    </w:p>
    <w:p>
      <w:pPr>
        <w:ind w:left="520" w:hanging="520"/>
        <w:spacing w:after="0"/>
        <w:tabs>
          <w:tab w:leader="none" w:pos="520"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Naming of vessel agents for the transaction of the Vessel’s business;</w:t>
      </w:r>
    </w:p>
    <w:p>
      <w:pPr>
        <w:spacing w:after="0" w:line="169" w:lineRule="exact"/>
        <w:rPr>
          <w:rFonts w:ascii="Times New Roman" w:cs="Times New Roman" w:eastAsia="Times New Roman" w:hAnsi="Times New Roman"/>
          <w:sz w:val="13"/>
          <w:szCs w:val="13"/>
          <w:color w:val="auto"/>
        </w:rPr>
      </w:pPr>
    </w:p>
    <w:p>
      <w:pPr>
        <w:jc w:val="both"/>
        <w:spacing w:after="0" w:line="274" w:lineRule="auto"/>
        <w:tabs>
          <w:tab w:leader="none" w:pos="539"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Arrangement and retention in full force and effect of all customary insurance pertaining to the Vessel as instructed by the Owner or charterer and all such policies of insurance, including but not limited to protection and indemnity, hull and machinery, war risk and oil pollution covering the Vessel; if requested by the Owner or charterer, making application for certificates of financial responsibility on behalf of the Vessel covered hereunder;</w:t>
      </w:r>
    </w:p>
    <w:p>
      <w:pPr>
        <w:spacing w:after="0" w:line="126" w:lineRule="exact"/>
        <w:rPr>
          <w:rFonts w:ascii="Times New Roman" w:cs="Times New Roman" w:eastAsia="Times New Roman" w:hAnsi="Times New Roman"/>
          <w:sz w:val="13"/>
          <w:szCs w:val="13"/>
          <w:color w:val="auto"/>
        </w:rPr>
      </w:pPr>
    </w:p>
    <w:p>
      <w:pPr>
        <w:ind w:left="520" w:hanging="520"/>
        <w:spacing w:after="0"/>
        <w:tabs>
          <w:tab w:leader="none" w:pos="520"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Adjustment and the negotiating of settlements, with or on behalf of claimants or underwriters, of any claim, damages for which are recoverable under policies of insurance;</w:t>
      </w:r>
    </w:p>
    <w:p>
      <w:pPr>
        <w:spacing w:after="0" w:line="169" w:lineRule="exact"/>
        <w:rPr>
          <w:rFonts w:ascii="Times New Roman" w:cs="Times New Roman" w:eastAsia="Times New Roman" w:hAnsi="Times New Roman"/>
          <w:sz w:val="13"/>
          <w:szCs w:val="13"/>
          <w:color w:val="auto"/>
        </w:rPr>
      </w:pPr>
    </w:p>
    <w:p>
      <w:pPr>
        <w:spacing w:after="0" w:line="293" w:lineRule="auto"/>
        <w:tabs>
          <w:tab w:leader="none" w:pos="600"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requested, provide the Owner with technical assistance in connection with any sale of the Vessel. The Manager will, if requested in writing by the Owner, comment on the terms of any proposed Memorandum of Agreement, but the Owner will remain solely responsible for agreeing the terms of any Memorandum of Agreement regulating any sale;</w:t>
      </w:r>
    </w:p>
    <w:p>
      <w:pPr>
        <w:spacing w:after="0" w:line="114" w:lineRule="exact"/>
        <w:rPr>
          <w:rFonts w:ascii="Times New Roman" w:cs="Times New Roman" w:eastAsia="Times New Roman" w:hAnsi="Times New Roman"/>
          <w:sz w:val="13"/>
          <w:szCs w:val="13"/>
          <w:color w:val="auto"/>
        </w:rPr>
      </w:pPr>
    </w:p>
    <w:p>
      <w:pPr>
        <w:ind w:left="520" w:hanging="520"/>
        <w:spacing w:after="0"/>
        <w:tabs>
          <w:tab w:leader="none" w:pos="520"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Arrangement or the prompt dispatch of the Vessel from loading and discharging ports and for transit through canals;</w:t>
      </w:r>
    </w:p>
    <w:p>
      <w:pPr>
        <w:spacing w:after="0" w:line="169" w:lineRule="exact"/>
        <w:rPr>
          <w:rFonts w:ascii="Times New Roman" w:cs="Times New Roman" w:eastAsia="Times New Roman" w:hAnsi="Times New Roman"/>
          <w:sz w:val="13"/>
          <w:szCs w:val="13"/>
          <w:color w:val="auto"/>
        </w:rPr>
      </w:pPr>
    </w:p>
    <w:p>
      <w:pPr>
        <w:spacing w:after="0" w:line="293" w:lineRule="auto"/>
        <w:tabs>
          <w:tab w:leader="none" w:pos="559"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Arrangement for employment of counsel, and the investigation, follow-up and negotiating of the settlement of all claims arising in connection with the operation of the Vessel; it being understood that the Owner will be responsible for the payment of such counsel’s fees and expenses;</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195" w:name="page196"/>
    <w:bookmarkEnd w:id="195"/>
    <w:p>
      <w:pPr>
        <w:spacing w:after="0" w:line="293" w:lineRule="auto"/>
        <w:tabs>
          <w:tab w:leader="none" w:pos="583" w:val="left"/>
        </w:tabs>
        <w:numPr>
          <w:ilvl w:val="0"/>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Arrangement for the appointment of an adjuster and assistance in preparing the average account, taking proper security for the cargo’s and freight’s proportion of average, and in all ways reasonably possible protecting the interest of the Vessel and her Owner; it being understood that the Owner will be responsible for the payment of such adjuster’s fees and expenses;</w:t>
      </w:r>
    </w:p>
    <w:p>
      <w:pPr>
        <w:spacing w:after="0" w:line="114" w:lineRule="exact"/>
        <w:rPr>
          <w:rFonts w:ascii="Times New Roman" w:cs="Times New Roman" w:eastAsia="Times New Roman" w:hAnsi="Times New Roman"/>
          <w:sz w:val="13"/>
          <w:szCs w:val="13"/>
          <w:color w:val="auto"/>
        </w:rPr>
      </w:pPr>
    </w:p>
    <w:p>
      <w:pPr>
        <w:spacing w:after="0" w:line="293" w:lineRule="auto"/>
        <w:tabs>
          <w:tab w:leader="none" w:pos="531" w:val="left"/>
        </w:tabs>
        <w:numPr>
          <w:ilvl w:val="0"/>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Arrangement for the appointment of surveyors and technical consultants as necessary; it being understood that the Owner will be responsible for the payment of such surveyor’s or technical consultant’s fees and expenses outside the ordinary course of business;</w:t>
      </w:r>
    </w:p>
    <w:p>
      <w:pPr>
        <w:spacing w:after="0" w:line="114" w:lineRule="exact"/>
        <w:rPr>
          <w:rFonts w:ascii="Times New Roman" w:cs="Times New Roman" w:eastAsia="Times New Roman" w:hAnsi="Times New Roman"/>
          <w:sz w:val="13"/>
          <w:szCs w:val="13"/>
          <w:color w:val="auto"/>
        </w:rPr>
      </w:pPr>
    </w:p>
    <w:p>
      <w:pPr>
        <w:spacing w:after="0" w:line="293" w:lineRule="auto"/>
        <w:tabs>
          <w:tab w:leader="none" w:pos="531" w:val="left"/>
        </w:tabs>
        <w:numPr>
          <w:ilvl w:val="0"/>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Negotiating of the settlement of insurance claims of the Vessel Owner’s or charterer’s protection and indemnity insurance and the arranging for the making of disbursements accordingly for the Owner’s or charterer’s account; the Owner shall arrange for the provision of any necessary guarantee bond or other security;</w:t>
      </w:r>
    </w:p>
    <w:p>
      <w:pPr>
        <w:spacing w:after="0" w:line="114" w:lineRule="exact"/>
        <w:rPr>
          <w:rFonts w:ascii="Times New Roman" w:cs="Times New Roman" w:eastAsia="Times New Roman" w:hAnsi="Times New Roman"/>
          <w:sz w:val="13"/>
          <w:szCs w:val="13"/>
          <w:color w:val="auto"/>
        </w:rPr>
      </w:pPr>
    </w:p>
    <w:p>
      <w:pPr>
        <w:ind w:left="520" w:hanging="520"/>
        <w:spacing w:after="0"/>
        <w:tabs>
          <w:tab w:leader="none" w:pos="520" w:val="left"/>
        </w:tabs>
        <w:numPr>
          <w:ilvl w:val="0"/>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Attendance to all matters involving the Vessel’s crew, including, but not limited to, the following:</w:t>
      </w:r>
    </w:p>
    <w:p>
      <w:pPr>
        <w:spacing w:after="0" w:line="169" w:lineRule="exact"/>
        <w:rPr>
          <w:rFonts w:ascii="Times New Roman" w:cs="Times New Roman" w:eastAsia="Times New Roman" w:hAnsi="Times New Roman"/>
          <w:sz w:val="13"/>
          <w:szCs w:val="13"/>
          <w:color w:val="auto"/>
        </w:rPr>
      </w:pPr>
    </w:p>
    <w:p>
      <w:pPr>
        <w:jc w:val="both"/>
        <w:ind w:left="1380" w:hanging="422"/>
        <w:spacing w:after="0" w:line="274" w:lineRule="auto"/>
        <w:tabs>
          <w:tab w:leader="none" w:pos="1645" w:val="left"/>
        </w:tabs>
        <w:numPr>
          <w:ilvl w:val="1"/>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arranging for the procurement and enlistment for the Vessel, as required by applicable law, of competent, reliable and duly licensed personnel (hereinafter referred to as “</w:t>
      </w:r>
      <w:r>
        <w:rPr>
          <w:rFonts w:ascii="Times New Roman" w:cs="Times New Roman" w:eastAsia="Times New Roman" w:hAnsi="Times New Roman"/>
          <w:sz w:val="13"/>
          <w:szCs w:val="13"/>
          <w:u w:val="single" w:color="auto"/>
          <w:color w:val="auto"/>
        </w:rPr>
        <w:t>crew</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members</w:t>
      </w:r>
      <w:r>
        <w:rPr>
          <w:rFonts w:ascii="Times New Roman" w:cs="Times New Roman" w:eastAsia="Times New Roman" w:hAnsi="Times New Roman"/>
          <w:sz w:val="13"/>
          <w:szCs w:val="13"/>
          <w:color w:val="auto"/>
        </w:rPr>
        <w:t>”) in accordance with the requirements of International Maritime Organisation Convention on Standards of Training Certification and Watchkeeping for Seafarers 1978 and as subsequently amended, and all replacements therefore as from time to time may be required;</w:t>
      </w:r>
    </w:p>
    <w:p>
      <w:pPr>
        <w:spacing w:after="0" w:line="126" w:lineRule="exact"/>
        <w:rPr>
          <w:rFonts w:ascii="Times New Roman" w:cs="Times New Roman" w:eastAsia="Times New Roman" w:hAnsi="Times New Roman"/>
          <w:sz w:val="13"/>
          <w:szCs w:val="13"/>
          <w:color w:val="auto"/>
        </w:rPr>
      </w:pPr>
    </w:p>
    <w:p>
      <w:pPr>
        <w:ind w:left="1480" w:hanging="522"/>
        <w:spacing w:after="0"/>
        <w:tabs>
          <w:tab w:leader="none" w:pos="1480" w:val="left"/>
        </w:tabs>
        <w:numPr>
          <w:ilvl w:val="1"/>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arranging for all transportation, board and lodging for the crew members as and when required at rates and types of accommodations as customary in the industry;</w:t>
      </w:r>
    </w:p>
    <w:p>
      <w:pPr>
        <w:spacing w:after="0" w:line="169" w:lineRule="exact"/>
        <w:rPr>
          <w:rFonts w:ascii="Times New Roman" w:cs="Times New Roman" w:eastAsia="Times New Roman" w:hAnsi="Times New Roman"/>
          <w:sz w:val="13"/>
          <w:szCs w:val="13"/>
          <w:color w:val="auto"/>
        </w:rPr>
      </w:pPr>
    </w:p>
    <w:p>
      <w:pPr>
        <w:jc w:val="both"/>
        <w:ind w:left="1380" w:hanging="422"/>
        <w:spacing w:after="0" w:line="274" w:lineRule="auto"/>
        <w:tabs>
          <w:tab w:leader="none" w:pos="1497" w:val="left"/>
        </w:tabs>
        <w:numPr>
          <w:ilvl w:val="1"/>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keeping and maintaining full and complete records of any labour agreements which may be entered into between the Owner or disponent owner and the crew members and the prompt reporting to the Owner or disponent owner as soon as notice or knowledge thereof is received of any change or proposed change in labour agreements or other regulations relating to the master and the crew members;</w:t>
      </w:r>
    </w:p>
    <w:p>
      <w:pPr>
        <w:spacing w:after="0" w:line="126" w:lineRule="exact"/>
        <w:rPr>
          <w:rFonts w:ascii="Times New Roman" w:cs="Times New Roman" w:eastAsia="Times New Roman" w:hAnsi="Times New Roman"/>
          <w:sz w:val="13"/>
          <w:szCs w:val="13"/>
          <w:color w:val="auto"/>
        </w:rPr>
      </w:pPr>
    </w:p>
    <w:p>
      <w:pPr>
        <w:ind w:left="1440" w:hanging="482"/>
        <w:spacing w:after="0"/>
        <w:tabs>
          <w:tab w:leader="none" w:pos="1440" w:val="left"/>
        </w:tabs>
        <w:numPr>
          <w:ilvl w:val="1"/>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negotiating the settlement and payment of all wages with the crew members during the course of and upon termination of their employment;</w:t>
      </w:r>
    </w:p>
    <w:p>
      <w:pPr>
        <w:spacing w:after="0" w:line="169" w:lineRule="exact"/>
        <w:rPr>
          <w:rFonts w:ascii="Times New Roman" w:cs="Times New Roman" w:eastAsia="Times New Roman" w:hAnsi="Times New Roman"/>
          <w:sz w:val="13"/>
          <w:szCs w:val="13"/>
          <w:color w:val="auto"/>
        </w:rPr>
      </w:pPr>
    </w:p>
    <w:p>
      <w:pPr>
        <w:ind w:left="1380" w:hanging="422"/>
        <w:spacing w:after="0" w:line="293" w:lineRule="auto"/>
        <w:tabs>
          <w:tab w:leader="none" w:pos="1471" w:val="left"/>
        </w:tabs>
        <w:numPr>
          <w:ilvl w:val="1"/>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handling of all details and negotiating the settlement of any and all claims of the crew members including, but not limited to, those arising out of accidents, sickness, or death, loss of personal effects, disputes under articles or contracts of enlistment, policies of insurance and fines;</w:t>
      </w:r>
    </w:p>
    <w:p>
      <w:pPr>
        <w:spacing w:after="0" w:line="114" w:lineRule="exact"/>
        <w:rPr>
          <w:rFonts w:ascii="Times New Roman" w:cs="Times New Roman" w:eastAsia="Times New Roman" w:hAnsi="Times New Roman"/>
          <w:sz w:val="13"/>
          <w:szCs w:val="13"/>
          <w:color w:val="auto"/>
        </w:rPr>
      </w:pPr>
    </w:p>
    <w:p>
      <w:pPr>
        <w:ind w:left="1380" w:hanging="422"/>
        <w:spacing w:after="0" w:line="293" w:lineRule="auto"/>
        <w:tabs>
          <w:tab w:leader="none" w:pos="1410" w:val="left"/>
        </w:tabs>
        <w:numPr>
          <w:ilvl w:val="1"/>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keeping and maintaining all administrative and financial records relating to the crew members as required by law, labour agreements, the Owner or charterer, and rendering to the Owner or charterer any and all reports when, as and in such form as requested by the Owner or charterer;</w:t>
      </w:r>
    </w:p>
    <w:p>
      <w:pPr>
        <w:spacing w:after="0" w:line="114" w:lineRule="exact"/>
        <w:rPr>
          <w:rFonts w:ascii="Times New Roman" w:cs="Times New Roman" w:eastAsia="Times New Roman" w:hAnsi="Times New Roman"/>
          <w:sz w:val="13"/>
          <w:szCs w:val="13"/>
          <w:color w:val="auto"/>
        </w:rPr>
      </w:pPr>
    </w:p>
    <w:p>
      <w:pPr>
        <w:ind w:left="1460" w:hanging="502"/>
        <w:spacing w:after="0"/>
        <w:tabs>
          <w:tab w:leader="none" w:pos="1460" w:val="left"/>
        </w:tabs>
        <w:numPr>
          <w:ilvl w:val="1"/>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performance of any other function in connection with crew members as may be requested by the Owner or charterer; and</w:t>
      </w:r>
    </w:p>
    <w:p>
      <w:pPr>
        <w:spacing w:after="0" w:line="1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196" w:name="page197"/>
    <w:bookmarkEnd w:id="196"/>
    <w:p>
      <w:pPr>
        <w:ind w:left="1420" w:hanging="462"/>
        <w:spacing w:after="0"/>
        <w:tabs>
          <w:tab w:leader="none" w:pos="1420" w:val="left"/>
        </w:tabs>
        <w:numPr>
          <w:ilvl w:val="1"/>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negotiating with unions, if required;</w:t>
      </w:r>
    </w:p>
    <w:p>
      <w:pPr>
        <w:spacing w:after="0" w:line="169" w:lineRule="exact"/>
        <w:rPr>
          <w:rFonts w:ascii="Times New Roman" w:cs="Times New Roman" w:eastAsia="Times New Roman" w:hAnsi="Times New Roman"/>
          <w:sz w:val="13"/>
          <w:szCs w:val="13"/>
          <w:color w:val="auto"/>
        </w:rPr>
      </w:pPr>
    </w:p>
    <w:p>
      <w:pPr>
        <w:spacing w:after="0" w:line="293" w:lineRule="auto"/>
        <w:tabs>
          <w:tab w:leader="none" w:pos="615" w:val="left"/>
        </w:tabs>
        <w:numPr>
          <w:ilvl w:val="0"/>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Payment of all charges incurred in connection with the management of the Vessel, including, but not limited to, the cost of the items listed in (2) to (16) above, canal tolls, repair charges and port charges, and any amounts due to any governmental agency with respect to the Vessel crews;</w:t>
      </w:r>
    </w:p>
    <w:p>
      <w:pPr>
        <w:spacing w:after="0" w:line="114" w:lineRule="exact"/>
        <w:rPr>
          <w:rFonts w:ascii="Times New Roman" w:cs="Times New Roman" w:eastAsia="Times New Roman" w:hAnsi="Times New Roman"/>
          <w:sz w:val="13"/>
          <w:szCs w:val="13"/>
          <w:color w:val="auto"/>
        </w:rPr>
      </w:pPr>
    </w:p>
    <w:p>
      <w:pPr>
        <w:spacing w:after="0" w:line="293" w:lineRule="auto"/>
        <w:tabs>
          <w:tab w:leader="none" w:pos="590" w:val="left"/>
        </w:tabs>
        <w:numPr>
          <w:ilvl w:val="0"/>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such form and on such terms as may be requested by the Owner, the prompt reporting to the Owner of the Vessel’s movement, position at sea, arrival and departure dates, casualties and damages received or caused by the Vessel;</w:t>
      </w:r>
    </w:p>
    <w:p>
      <w:pPr>
        <w:spacing w:after="0" w:line="114" w:lineRule="exact"/>
        <w:rPr>
          <w:rFonts w:ascii="Times New Roman" w:cs="Times New Roman" w:eastAsia="Times New Roman" w:hAnsi="Times New Roman"/>
          <w:sz w:val="13"/>
          <w:szCs w:val="13"/>
          <w:color w:val="auto"/>
        </w:rPr>
      </w:pPr>
    </w:p>
    <w:p>
      <w:pPr>
        <w:jc w:val="both"/>
        <w:spacing w:after="0" w:line="268" w:lineRule="auto"/>
        <w:tabs>
          <w:tab w:leader="none" w:pos="538" w:val="left"/>
        </w:tabs>
        <w:numPr>
          <w:ilvl w:val="0"/>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case the Vessel is employed under a voyage charter, the Owner shall pay for all voyage related expenses (including bunkers, canal tolls and port dues) and the Manager shall arrange for the provision of bunker fuel of the quality agreed with the Owner as required for the Vessel’s trade. The Manager shall be entitled to order bunker fuel through such brokers or suppliers as the Manager deems appropriate unless the Owner instructs the Manager to utilize a particular supplier which the Manager will be obliged to do provided that the Owner shall have made prior credit arrangements with such supplier. The Owner shall comply with the terms of any credit arrangements made by the Manager on their behalf;</w:t>
      </w:r>
    </w:p>
    <w:p>
      <w:pPr>
        <w:spacing w:after="0" w:line="130" w:lineRule="exact"/>
        <w:rPr>
          <w:rFonts w:ascii="Times New Roman" w:cs="Times New Roman" w:eastAsia="Times New Roman" w:hAnsi="Times New Roman"/>
          <w:sz w:val="13"/>
          <w:szCs w:val="13"/>
          <w:color w:val="auto"/>
        </w:rPr>
      </w:pPr>
    </w:p>
    <w:p>
      <w:pPr>
        <w:spacing w:after="0" w:line="293" w:lineRule="auto"/>
        <w:tabs>
          <w:tab w:leader="none" w:pos="609" w:val="left"/>
        </w:tabs>
        <w:numPr>
          <w:ilvl w:val="0"/>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Manager shall not in any circumstances have any liability for any bunkers which do not meet the required specification. The Manager will, however, take such action, on behalf of the Owner, against the supplier of the bunkers, as is agreed with the Owner; and</w:t>
      </w:r>
    </w:p>
    <w:p>
      <w:pPr>
        <w:spacing w:after="0" w:line="114" w:lineRule="exact"/>
        <w:rPr>
          <w:rFonts w:ascii="Times New Roman" w:cs="Times New Roman" w:eastAsia="Times New Roman" w:hAnsi="Times New Roman"/>
          <w:sz w:val="13"/>
          <w:szCs w:val="13"/>
          <w:color w:val="auto"/>
        </w:rPr>
      </w:pPr>
    </w:p>
    <w:p>
      <w:pPr>
        <w:spacing w:after="0" w:line="293" w:lineRule="auto"/>
        <w:tabs>
          <w:tab w:leader="none" w:pos="484" w:val="left"/>
        </w:tabs>
        <w:numPr>
          <w:ilvl w:val="0"/>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Manager shall make arrangements and supervise the drydocking, repairs, alterations and maintenance of the Vessel to the standards required to ensure that she will comply with the laws of the flag and of the jurisdictions where the Vessel trades and all requirements and recommendations of the applicable Classification Society.</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46" w:right="31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175"/>
        </w:trPr>
        <w:tc>
          <w:tcPr>
            <w:tcW w:w="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960" w:type="dxa"/>
            <w:vAlign w:val="bottom"/>
          </w:tcPr>
          <w:p>
            <w:pPr>
              <w:jc w:val="center"/>
              <w:ind w:right="4113"/>
              <w:spacing w:after="0"/>
              <w:rPr>
                <w:sz w:val="20"/>
                <w:szCs w:val="20"/>
                <w:color w:val="auto"/>
              </w:rPr>
            </w:pPr>
            <w:r>
              <w:rPr>
                <w:rFonts w:ascii="Times New Roman" w:cs="Times New Roman" w:eastAsia="Times New Roman" w:hAnsi="Times New Roman"/>
                <w:sz w:val="13"/>
                <w:szCs w:val="13"/>
                <w:b w:val="1"/>
                <w:bCs w:val="1"/>
                <w:color w:val="auto"/>
              </w:rPr>
              <w:t>SCHEDULE B</w:t>
            </w:r>
          </w:p>
        </w:tc>
        <w:tc>
          <w:tcPr>
            <w:tcW w:w="60" w:type="dxa"/>
            <w:vAlign w:val="bottom"/>
          </w:tcPr>
          <w:p>
            <w:pPr>
              <w:spacing w:after="0"/>
              <w:rPr>
                <w:sz w:val="15"/>
                <w:szCs w:val="15"/>
                <w:color w:val="auto"/>
              </w:rPr>
            </w:pPr>
          </w:p>
        </w:tc>
      </w:tr>
      <w:tr>
        <w:trPr>
          <w:trHeight w:val="319"/>
        </w:trPr>
        <w:tc>
          <w:tcPr>
            <w:tcW w:w="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60" w:type="dxa"/>
            <w:vAlign w:val="bottom"/>
          </w:tcPr>
          <w:p>
            <w:pPr>
              <w:jc w:val="center"/>
              <w:ind w:right="4133"/>
              <w:spacing w:after="0"/>
              <w:rPr>
                <w:sz w:val="20"/>
                <w:szCs w:val="20"/>
                <w:color w:val="auto"/>
              </w:rPr>
            </w:pPr>
            <w:r>
              <w:rPr>
                <w:rFonts w:ascii="Times New Roman" w:cs="Times New Roman" w:eastAsia="Times New Roman" w:hAnsi="Times New Roman"/>
                <w:sz w:val="13"/>
                <w:szCs w:val="13"/>
                <w:color w:val="auto"/>
              </w:rPr>
              <w:t>VESSEL AND DATE OF TERMINATION</w:t>
            </w:r>
          </w:p>
        </w:tc>
        <w:tc>
          <w:tcPr>
            <w:tcW w:w="60" w:type="dxa"/>
            <w:vAlign w:val="bottom"/>
          </w:tcPr>
          <w:p>
            <w:pPr>
              <w:spacing w:after="0"/>
              <w:rPr>
                <w:sz w:val="24"/>
                <w:szCs w:val="24"/>
                <w:color w:val="auto"/>
              </w:rPr>
            </w:pPr>
          </w:p>
        </w:tc>
      </w:tr>
      <w:tr>
        <w:trPr>
          <w:trHeight w:val="464"/>
        </w:trPr>
        <w:tc>
          <w:tcPr>
            <w:tcW w:w="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Expected</w:t>
            </w:r>
          </w:p>
        </w:tc>
        <w:tc>
          <w:tcPr>
            <w:tcW w:w="60" w:type="dxa"/>
            <w:vAlign w:val="bottom"/>
          </w:tcPr>
          <w:p>
            <w:pPr>
              <w:spacing w:after="0"/>
              <w:rPr>
                <w:sz w:val="24"/>
                <w:szCs w:val="24"/>
                <w:color w:val="auto"/>
              </w:rPr>
            </w:pPr>
          </w:p>
        </w:tc>
      </w:tr>
      <w:tr>
        <w:trPr>
          <w:trHeight w:val="184"/>
        </w:trPr>
        <w:tc>
          <w:tcPr>
            <w:tcW w:w="60" w:type="dxa"/>
            <w:vAlign w:val="bottom"/>
          </w:tcPr>
          <w:p>
            <w:pPr>
              <w:spacing w:after="0"/>
              <w:rPr>
                <w:sz w:val="16"/>
                <w:szCs w:val="16"/>
                <w:color w:val="auto"/>
              </w:rPr>
            </w:pPr>
          </w:p>
        </w:tc>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Vessel Name</w:t>
            </w:r>
          </w:p>
        </w:tc>
        <w:tc>
          <w:tcPr>
            <w:tcW w:w="140" w:type="dxa"/>
            <w:vAlign w:val="bottom"/>
          </w:tcPr>
          <w:p>
            <w:pPr>
              <w:spacing w:after="0"/>
              <w:rPr>
                <w:sz w:val="16"/>
                <w:szCs w:val="16"/>
                <w:color w:val="auto"/>
              </w:rPr>
            </w:pPr>
          </w:p>
        </w:tc>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Termination Date</w:t>
            </w:r>
          </w:p>
        </w:tc>
        <w:tc>
          <w:tcPr>
            <w:tcW w:w="60" w:type="dxa"/>
            <w:vAlign w:val="bottom"/>
          </w:tcPr>
          <w:p>
            <w:pPr>
              <w:spacing w:after="0"/>
              <w:rPr>
                <w:sz w:val="16"/>
                <w:szCs w:val="16"/>
                <w:color w:val="auto"/>
              </w:rPr>
            </w:pPr>
          </w:p>
        </w:tc>
      </w:tr>
      <w:tr>
        <w:trPr>
          <w:trHeight w:val="309"/>
        </w:trPr>
        <w:tc>
          <w:tcPr>
            <w:tcW w:w="60" w:type="dxa"/>
            <w:vAlign w:val="bottom"/>
          </w:tcPr>
          <w:p>
            <w:pPr>
              <w:spacing w:after="0"/>
              <w:rPr>
                <w:sz w:val="24"/>
                <w:szCs w:val="24"/>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r>
      <w:tr>
        <w:trPr>
          <w:trHeight w:val="479"/>
        </w:trPr>
        <w:tc>
          <w:tcPr>
            <w:tcW w:w="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gridSpan w:val="2"/>
          </w:tcPr>
          <w:p>
            <w:pPr>
              <w:jc w:val="right"/>
              <w:ind w:right="5413"/>
              <w:spacing w:after="0"/>
              <w:rPr>
                <w:sz w:val="20"/>
                <w:szCs w:val="20"/>
                <w:color w:val="auto"/>
              </w:rPr>
            </w:pPr>
            <w:r>
              <w:rPr>
                <w:rFonts w:ascii="Times New Roman" w:cs="Times New Roman" w:eastAsia="Times New Roman" w:hAnsi="Times New Roman"/>
                <w:sz w:val="13"/>
                <w:szCs w:val="13"/>
                <w:color w:val="auto"/>
              </w:rPr>
              <w:t>12</w:t>
            </w: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44" w:right="319"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3"/>
          <w:szCs w:val="13"/>
          <w:b w:val="1"/>
          <w:bCs w:val="1"/>
          <w:color w:val="auto"/>
        </w:rPr>
        <w:t>SCHEDULE C</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FEES AND COSTS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consideration for the provision of the Services set out in Schedule “A” by the Manager to the Owner , the Owner shall:</w:t>
      </w:r>
    </w:p>
    <w:p>
      <w:pPr>
        <w:spacing w:after="0" w:line="330" w:lineRule="exact"/>
        <w:rPr>
          <w:sz w:val="20"/>
          <w:szCs w:val="20"/>
          <w:color w:val="auto"/>
        </w:rPr>
      </w:pPr>
    </w:p>
    <w:p>
      <w:pPr>
        <w:ind w:left="960" w:hanging="481"/>
        <w:spacing w:after="0" w:line="293" w:lineRule="auto"/>
        <w:tabs>
          <w:tab w:leader="none" w:pos="960" w:val="left"/>
        </w:tabs>
        <w:numPr>
          <w:ilvl w:val="0"/>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 the Manager a management fee (“</w:t>
      </w:r>
      <w:r>
        <w:rPr>
          <w:rFonts w:ascii="Times New Roman" w:cs="Times New Roman" w:eastAsia="Times New Roman" w:hAnsi="Times New Roman"/>
          <w:sz w:val="13"/>
          <w:szCs w:val="13"/>
          <w:u w:val="single" w:color="auto"/>
          <w:color w:val="auto"/>
        </w:rPr>
        <w:t>Fees</w:t>
      </w:r>
      <w:r>
        <w:rPr>
          <w:rFonts w:ascii="Times New Roman" w:cs="Times New Roman" w:eastAsia="Times New Roman" w:hAnsi="Times New Roman"/>
          <w:sz w:val="13"/>
          <w:szCs w:val="13"/>
          <w:color w:val="auto"/>
        </w:rPr>
        <w:t>”) equal to US$[•] per day for services provided to the Owner. Such US$[•] amount shall be subject to increase on each anniversary of the date hereof based on the total percentage increase, if any, in the Consumer Price Index over the immediately preceding twelve months of the term of this Agreement; and</w:t>
      </w:r>
    </w:p>
    <w:p>
      <w:pPr>
        <w:spacing w:after="0" w:line="34" w:lineRule="exact"/>
        <w:rPr>
          <w:rFonts w:ascii="Times New Roman" w:cs="Times New Roman" w:eastAsia="Times New Roman" w:hAnsi="Times New Roman"/>
          <w:sz w:val="13"/>
          <w:szCs w:val="13"/>
          <w:color w:val="auto"/>
        </w:rPr>
      </w:pPr>
    </w:p>
    <w:p>
      <w:pPr>
        <w:ind w:left="960" w:hanging="481"/>
        <w:spacing w:after="0" w:line="293" w:lineRule="auto"/>
        <w:tabs>
          <w:tab w:leader="none" w:pos="960" w:val="left"/>
        </w:tabs>
        <w:numPr>
          <w:ilvl w:val="0"/>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reimburse the Manager for all of the reasonable out-of-pocket costs, liabilities and expenses incurred by the Manager and its Affiliates in providing the Services set out in Schedule “A”, to the extent not covered by the fee set out in (i) above.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the avoidance of doubt and notwithstanding anything to the contrary in this Agreement, the Manager shall not be responsible for, and the Owner shall pay:</w:t>
      </w:r>
    </w:p>
    <w:p>
      <w:pPr>
        <w:spacing w:after="0" w:line="330" w:lineRule="exact"/>
        <w:rPr>
          <w:sz w:val="20"/>
          <w:szCs w:val="20"/>
          <w:color w:val="auto"/>
        </w:rPr>
      </w:pPr>
    </w:p>
    <w:p>
      <w:pPr>
        <w:ind w:left="960" w:hanging="481"/>
        <w:spacing w:after="0"/>
        <w:tabs>
          <w:tab w:leader="none" w:pos="960"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tax (including tonnage tax), dues or fines imposed on the Vessel or the Manager due to the operation or management of the Vessel.</w:t>
      </w:r>
    </w:p>
    <w:p>
      <w:pPr>
        <w:spacing w:after="0" w:line="329" w:lineRule="exact"/>
        <w:rPr>
          <w:rFonts w:ascii="Times New Roman" w:cs="Times New Roman" w:eastAsia="Times New Roman" w:hAnsi="Times New Roman"/>
          <w:sz w:val="13"/>
          <w:szCs w:val="13"/>
          <w:color w:val="auto"/>
        </w:rPr>
      </w:pPr>
    </w:p>
    <w:p>
      <w:pPr>
        <w:ind w:left="960" w:hanging="481"/>
        <w:spacing w:after="0"/>
        <w:tabs>
          <w:tab w:leader="none" w:pos="960"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any expenses incurred in connection with the sale of the Vessel, such as in connection with legal, inspections and technical assistance.</w:t>
      </w:r>
    </w:p>
    <w:p>
      <w:pPr>
        <w:spacing w:after="0" w:line="329" w:lineRule="exact"/>
        <w:rPr>
          <w:rFonts w:ascii="Times New Roman" w:cs="Times New Roman" w:eastAsia="Times New Roman" w:hAnsi="Times New Roman"/>
          <w:sz w:val="13"/>
          <w:szCs w:val="13"/>
          <w:color w:val="auto"/>
        </w:rPr>
      </w:pPr>
    </w:p>
    <w:p>
      <w:pPr>
        <w:ind w:left="960" w:hanging="481"/>
        <w:spacing w:after="0" w:line="293" w:lineRule="auto"/>
        <w:tabs>
          <w:tab w:leader="none" w:pos="960"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any similar costs, liabilities and expenses that were not reasonably contemplated by the Owner and the Manager as being encompassed by or a component of the Fees at the time the Fees were determined, as agreed by the parties in good faith.</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SETTLEMENT</w:t>
      </w:r>
    </w:p>
    <w:p>
      <w:pPr>
        <w:spacing w:after="0" w:line="18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Within 30 days after the end of each month, the Manager shall submit to the Owner for payment an invoice for payment of the Fees and reimbursement of all reasonable out-of-pocket costs and expenses incurred by the Manager as described above (the “</w:t>
      </w:r>
      <w:r>
        <w:rPr>
          <w:rFonts w:ascii="Times New Roman" w:cs="Times New Roman" w:eastAsia="Times New Roman" w:hAnsi="Times New Roman"/>
          <w:sz w:val="13"/>
          <w:szCs w:val="13"/>
          <w:u w:val="single" w:color="auto"/>
          <w:color w:val="auto"/>
        </w:rPr>
        <w:t>Costs and Expenses</w:t>
      </w:r>
      <w:r>
        <w:rPr>
          <w:rFonts w:ascii="Times New Roman" w:cs="Times New Roman" w:eastAsia="Times New Roman" w:hAnsi="Times New Roman"/>
          <w:sz w:val="13"/>
          <w:szCs w:val="13"/>
          <w:color w:val="auto"/>
        </w:rPr>
        <w:t>”) in connection with the provision of the Services under the Agreement for such month. Each statement will contain such supporting detail as may be reasonably required to validate such amounts due.</w:t>
      </w:r>
    </w:p>
    <w:p>
      <w:pPr>
        <w:spacing w:after="0" w:line="127"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3"/>
          <w:szCs w:val="13"/>
          <w:color w:val="auto"/>
        </w:rPr>
        <w:t>The Owner shall make payment within 30 days of the date of each invoice (any such day on which a payment is due, the “Due Date”). All invoices for Services are payable in U.S. dollars. All amounts not paid within 10 days after the Due Date shall bear interest at the rate of 1.00% per annum over US$ LIBOR from such Due Date until the date payment is received in full by the Manager.</w:t>
      </w:r>
    </w:p>
    <w:p>
      <w:pPr>
        <w:sectPr>
          <w:pgSz w:w="11900" w:h="16838" w:orient="portrait"/>
          <w:cols w:equalWidth="0" w:num="1">
            <w:col w:w="11280"/>
          </w:cols>
          <w:pgMar w:left="300" w:top="544" w:right="31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3"/>
          <w:szCs w:val="13"/>
          <w:b w:val="1"/>
          <w:bCs w:val="1"/>
          <w:color w:val="auto"/>
        </w:rPr>
        <w:t>Exhibit 8.1</w:t>
      </w:r>
    </w:p>
    <w:p>
      <w:pPr>
        <w:spacing w:after="0" w:line="23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3"/>
          <w:szCs w:val="13"/>
          <w:b w:val="1"/>
          <w:bCs w:val="1"/>
          <w:color w:val="auto"/>
        </w:rPr>
        <w:t>SIGNIFICANT SUBSIDIARIES OF CAPITAL CLEAN ENERGY CARRIERS CORP.</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sets forth the significant subsidiaries of Capital Clean Energy Carriers Corp.:</w:t>
      </w:r>
    </w:p>
    <w:p>
      <w:pPr>
        <w:sectPr>
          <w:pgSz w:w="11900" w:h="16838" w:orient="portrait"/>
          <w:cols w:equalWidth="0" w:num="1">
            <w:col w:w="11280"/>
          </w:cols>
          <w:pgMar w:left="300" w:top="365" w:right="319" w:bottom="1440" w:gutter="0" w:footer="0" w:header="0"/>
        </w:sect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Name of Subsidiary</w:t>
            </w:r>
          </w:p>
        </w:tc>
        <w:tc>
          <w:tcPr>
            <w:tcW w:w="1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Jurisdiction of Incorporation</w:t>
            </w:r>
          </w:p>
        </w:tc>
      </w:tr>
      <w:tr>
        <w:trPr>
          <w:trHeight w:val="147"/>
        </w:trPr>
        <w:tc>
          <w:tcPr>
            <w:tcW w:w="20" w:type="dxa"/>
            <w:vAlign w:val="bottom"/>
          </w:tcPr>
          <w:p>
            <w:pPr>
              <w:spacing w:after="0"/>
              <w:rPr>
                <w:sz w:val="12"/>
                <w:szCs w:val="12"/>
                <w:color w:val="auto"/>
              </w:rPr>
            </w:pPr>
          </w:p>
        </w:tc>
        <w:tc>
          <w:tcPr>
            <w:tcW w:w="7960" w:type="dxa"/>
            <w:vAlign w:val="bottom"/>
            <w:tcBorders>
              <w:top w:val="single" w:sz="8" w:color="auto"/>
            </w:tcBorders>
          </w:tcPr>
          <w:p>
            <w:pPr>
              <w:spacing w:after="0" w:line="147" w:lineRule="exact"/>
              <w:rPr>
                <w:sz w:val="20"/>
                <w:szCs w:val="20"/>
                <w:color w:val="auto"/>
              </w:rPr>
            </w:pPr>
            <w:r>
              <w:rPr>
                <w:rFonts w:ascii="Times New Roman" w:cs="Times New Roman" w:eastAsia="Times New Roman" w:hAnsi="Times New Roman"/>
                <w:sz w:val="13"/>
                <w:szCs w:val="13"/>
                <w:color w:val="auto"/>
              </w:rPr>
              <w:t>Capital Product Operating L.L.C.</w:t>
            </w:r>
          </w:p>
        </w:tc>
        <w:tc>
          <w:tcPr>
            <w:tcW w:w="100" w:type="dxa"/>
            <w:vAlign w:val="bottom"/>
          </w:tcPr>
          <w:p>
            <w:pPr>
              <w:spacing w:after="0"/>
              <w:rPr>
                <w:sz w:val="12"/>
                <w:szCs w:val="12"/>
                <w:color w:val="auto"/>
              </w:rPr>
            </w:pPr>
          </w:p>
        </w:tc>
        <w:tc>
          <w:tcPr>
            <w:tcW w:w="1660" w:type="dxa"/>
            <w:vAlign w:val="bottom"/>
            <w:tcBorders>
              <w:top w:val="single" w:sz="8" w:color="auto"/>
            </w:tcBorders>
          </w:tcPr>
          <w:p>
            <w:pPr>
              <w:spacing w:after="0" w:line="147" w:lineRule="exact"/>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CPLP Shipping Holdings PLC</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Cyprus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CPLP Gas Operating Corp.</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Patroklos Marine Corp.</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Anax Container Carrier S.A.</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Liberia</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Hercules Container Carrier S.A.</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Liberia</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Iason Container Carrier S.A.</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Liberia</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Thiseas Container Carrier S.A.</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Liberia</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Cronus Container Carrier S.A.</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Liberia</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Dias Container Carrier S.A.</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Deka Container Carrier S.A.</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Liberia</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Jupiter Container Carrier S.A.</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Liberia</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Nikitis Container Carrier S.A.</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Liberia</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Neos Container Carriers Corp.</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Maistros Container Carriers Corp.</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Filos Container Carriers Corp.</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Panormos Container Carrier S.A</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Ektoras Container Carrier S.A.</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Assos Gas Carrier Corp.</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Dias Gas Carrier Corp.</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Atrotos Gas Carrier Corp.</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Poseidon Gas Carrier Corp.</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Maximus Gas Carrier Corp.</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Kronos Gas Carrier Corp.</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Hermes Gas Carrier Corp.</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Beta Gas Carriers Corp.</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Monos Container Carrier S.A.</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Omega Gas Carriers Corp.</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Aqua Gas Carrier Corp.</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Mare Gas Carrier Corp.</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Polis Gas Carrier Corp.</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Elpis Gas Carrier Corp.</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Taurus Gas Carrier Corp.</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Ifaistos Carriers Corp.</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Leon Gas Carrier Corp.</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Omiros Gas Carriers Corp.</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Aison Gas Carriers Corp.</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Ikaros Carriers Corp.</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Daidalos Carriers Corp.</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Iason Gas Carriers Corp.</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Menelaos Gas Carriers Corp.</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Alvis Gas Carriers Corp.</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Leandros Carriers Corp.</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Venus Gas Carriers Corp.</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Romanos Gas Carrier Corp.</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Egeus Gas Carrier Corp.</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60"/>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Aigeas Gas Carrier Corp.</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r>
        <w:trPr>
          <w:trHeight w:val="173"/>
        </w:trPr>
        <w:tc>
          <w:tcPr>
            <w:tcW w:w="8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Dareios Gas Carrier Corp.</w:t>
            </w: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Marshall Islands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-4772025</wp:posOffset>
            </wp:positionV>
            <wp:extent cx="7167880" cy="1016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7">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-4568825</wp:posOffset>
            </wp:positionV>
            <wp:extent cx="7167880" cy="1016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8">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-4366260</wp:posOffset>
            </wp:positionV>
            <wp:extent cx="7167880" cy="1016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9">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-4163060</wp:posOffset>
            </wp:positionV>
            <wp:extent cx="7167880" cy="1016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0">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-3960495</wp:posOffset>
            </wp:positionV>
            <wp:extent cx="7167880" cy="1016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1">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-3757930</wp:posOffset>
            </wp:positionV>
            <wp:extent cx="7167880" cy="1016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2">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-3554730</wp:posOffset>
            </wp:positionV>
            <wp:extent cx="7167880" cy="1016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3">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-3352165</wp:posOffset>
            </wp:positionV>
            <wp:extent cx="7167880" cy="1016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4">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-3149600</wp:posOffset>
            </wp:positionV>
            <wp:extent cx="7167880" cy="1016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5">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-2946400</wp:posOffset>
            </wp:positionV>
            <wp:extent cx="7167880" cy="1016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6">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-2743835</wp:posOffset>
            </wp:positionV>
            <wp:extent cx="7167880" cy="1016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7">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-2540635</wp:posOffset>
            </wp:positionV>
            <wp:extent cx="7167880" cy="1016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8">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-2338070</wp:posOffset>
            </wp:positionV>
            <wp:extent cx="7167880" cy="1016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9">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-2135505</wp:posOffset>
            </wp:positionV>
            <wp:extent cx="7167880" cy="1016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0">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-1932305</wp:posOffset>
            </wp:positionV>
            <wp:extent cx="7167880" cy="1016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1">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-1729740</wp:posOffset>
            </wp:positionV>
            <wp:extent cx="7167880" cy="1016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2">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-1526540</wp:posOffset>
            </wp:positionV>
            <wp:extent cx="7167880" cy="1016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3">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-1323975</wp:posOffset>
            </wp:positionV>
            <wp:extent cx="7167880" cy="1016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4">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-1121410</wp:posOffset>
            </wp:positionV>
            <wp:extent cx="7167880" cy="1016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5">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-918210</wp:posOffset>
            </wp:positionV>
            <wp:extent cx="7167880" cy="1016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6">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-715645</wp:posOffset>
            </wp:positionV>
            <wp:extent cx="7167880" cy="1016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7">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-513080</wp:posOffset>
            </wp:positionV>
            <wp:extent cx="7167880" cy="1016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8">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-309880</wp:posOffset>
            </wp:positionV>
            <wp:extent cx="7167880" cy="1016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9">
                      <a:extLst>
                        <a:ext uri="{28A0092B-C50C-407E-A947-70E740481C1C}"/>
                      </a:extLst>
                    </a:blip>
                    <a:srcRect/>
                    <a:stretch>
                      <a:fillRect/>
                    </a:stretch>
                  </pic:blipFill>
                  <pic:spPr bwMode="auto">
                    <a:xfrm>
                      <a:off x="0" y="0"/>
                      <a:ext cx="7167880" cy="101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-107315</wp:posOffset>
            </wp:positionV>
            <wp:extent cx="7167880" cy="1016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0">
                      <a:extLst>
                        <a:ext uri="{28A0092B-C50C-407E-A947-70E740481C1C}"/>
                      </a:extLst>
                    </a:blip>
                    <a:srcRect/>
                    <a:stretch>
                      <a:fillRect/>
                    </a:stretch>
                  </pic:blipFill>
                  <pic:spPr bwMode="auto">
                    <a:xfrm>
                      <a:off x="0" y="0"/>
                      <a:ext cx="7167880" cy="101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3"/>
          <w:szCs w:val="13"/>
          <w:b w:val="1"/>
          <w:bCs w:val="1"/>
          <w:color w:val="auto"/>
        </w:rPr>
        <w:t>Proportion of Ownership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912495" cy="63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1">
                      <a:extLst>
                        <a:ext uri="{28A0092B-C50C-407E-A947-70E740481C1C}"/>
                      </a:extLst>
                    </a:blip>
                    <a:srcRect/>
                    <a:stretch>
                      <a:fillRect/>
                    </a:stretch>
                  </pic:blipFill>
                  <pic:spPr bwMode="auto">
                    <a:xfrm>
                      <a:off x="0" y="0"/>
                      <a:ext cx="912495" cy="63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100%</w:t>
      </w:r>
    </w:p>
    <w:p>
      <w:pPr>
        <w:sectPr>
          <w:pgSz w:w="11900" w:h="16838" w:orient="portrait"/>
          <w:cols w:equalWidth="0" w:num="2">
            <w:col w:w="9740" w:space="120"/>
            <w:col w:w="1420"/>
          </w:cols>
          <w:pgMar w:left="300" w:top="365" w:right="319" w:bottom="1440" w:gutter="0" w:footer="0" w:header="0"/>
          <w:type w:val="continuous"/>
        </w:sectPr>
      </w:pPr>
    </w:p>
    <w:bookmarkStart w:id="200" w:name="page201"/>
    <w:bookmarkEnd w:id="200"/>
    <w:p>
      <w:pPr>
        <w:jc w:val="right"/>
        <w:spacing w:after="0"/>
        <w:rPr>
          <w:sz w:val="20"/>
          <w:szCs w:val="20"/>
          <w:color w:val="auto"/>
        </w:rPr>
      </w:pPr>
      <w:r>
        <w:rPr>
          <w:rFonts w:ascii="Times New Roman" w:cs="Times New Roman" w:eastAsia="Times New Roman" w:hAnsi="Times New Roman"/>
          <w:sz w:val="13"/>
          <w:szCs w:val="13"/>
          <w:b w:val="1"/>
          <w:bCs w:val="1"/>
          <w:color w:val="auto"/>
        </w:rPr>
        <w:t>Exhibit 12.1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 CHIEF EXECUTIVE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Gerasimos (Jerry) Kalogiratos, certify that:</w:t>
      </w:r>
    </w:p>
    <w:p>
      <w:pPr>
        <w:spacing w:after="0" w:line="170" w:lineRule="exact"/>
        <w:rPr>
          <w:sz w:val="20"/>
          <w:szCs w:val="20"/>
          <w:color w:val="auto"/>
        </w:rPr>
      </w:pPr>
    </w:p>
    <w:p>
      <w:pPr>
        <w:ind w:left="620" w:hanging="341"/>
        <w:spacing w:after="0"/>
        <w:tabs>
          <w:tab w:leader="none" w:pos="620"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20-F of Capital Clean Energy Carriers Corp.;</w:t>
      </w:r>
    </w:p>
    <w:p>
      <w:pPr>
        <w:spacing w:after="0" w:line="169" w:lineRule="exact"/>
        <w:rPr>
          <w:rFonts w:ascii="Times New Roman" w:cs="Times New Roman" w:eastAsia="Times New Roman" w:hAnsi="Times New Roman"/>
          <w:sz w:val="13"/>
          <w:szCs w:val="13"/>
          <w:color w:val="auto"/>
        </w:rPr>
      </w:pPr>
    </w:p>
    <w:p>
      <w:pPr>
        <w:ind w:left="620" w:right="100" w:hanging="341"/>
        <w:spacing w:after="0" w:line="293" w:lineRule="auto"/>
        <w:tabs>
          <w:tab w:leader="none" w:pos="620"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Times New Roman" w:cs="Times New Roman" w:eastAsia="Times New Roman" w:hAnsi="Times New Roman"/>
          <w:sz w:val="13"/>
          <w:szCs w:val="13"/>
          <w:color w:val="auto"/>
        </w:rPr>
      </w:pPr>
    </w:p>
    <w:p>
      <w:pPr>
        <w:ind w:left="620" w:right="220" w:hanging="341"/>
        <w:spacing w:after="0" w:line="293" w:lineRule="auto"/>
        <w:tabs>
          <w:tab w:leader="none" w:pos="620"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4" w:lineRule="exact"/>
        <w:rPr>
          <w:rFonts w:ascii="Times New Roman" w:cs="Times New Roman" w:eastAsia="Times New Roman" w:hAnsi="Times New Roman"/>
          <w:sz w:val="13"/>
          <w:szCs w:val="13"/>
          <w:color w:val="auto"/>
        </w:rPr>
      </w:pPr>
    </w:p>
    <w:p>
      <w:pPr>
        <w:ind w:left="620" w:right="220" w:hanging="341"/>
        <w:spacing w:after="0" w:line="293" w:lineRule="auto"/>
        <w:tabs>
          <w:tab w:leader="none" w:pos="620"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14" w:lineRule="exact"/>
        <w:rPr>
          <w:rFonts w:ascii="Times New Roman" w:cs="Times New Roman" w:eastAsia="Times New Roman" w:hAnsi="Times New Roman"/>
          <w:sz w:val="13"/>
          <w:szCs w:val="13"/>
          <w:color w:val="auto"/>
        </w:rPr>
      </w:pPr>
    </w:p>
    <w:p>
      <w:pPr>
        <w:ind w:left="900" w:right="20" w:hanging="271"/>
        <w:spacing w:after="0" w:line="293" w:lineRule="auto"/>
        <w:tabs>
          <w:tab w:leader="none" w:pos="900" w:val="left"/>
        </w:tabs>
        <w:numPr>
          <w:ilvl w:val="1"/>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3"/>
          <w:szCs w:val="13"/>
          <w:color w:val="auto"/>
        </w:rPr>
      </w:pPr>
    </w:p>
    <w:p>
      <w:pPr>
        <w:ind w:left="900" w:right="20" w:hanging="271"/>
        <w:spacing w:after="0" w:line="293" w:lineRule="auto"/>
        <w:tabs>
          <w:tab w:leader="none" w:pos="900" w:val="left"/>
        </w:tabs>
        <w:numPr>
          <w:ilvl w:val="1"/>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3"/>
          <w:szCs w:val="13"/>
          <w:color w:val="auto"/>
        </w:rPr>
      </w:pPr>
    </w:p>
    <w:p>
      <w:pPr>
        <w:ind w:left="900" w:right="20" w:hanging="271"/>
        <w:spacing w:after="0" w:line="293" w:lineRule="auto"/>
        <w:tabs>
          <w:tab w:leader="none" w:pos="900" w:val="left"/>
        </w:tabs>
        <w:numPr>
          <w:ilvl w:val="1"/>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3"/>
          <w:szCs w:val="13"/>
          <w:color w:val="auto"/>
        </w:rPr>
      </w:pPr>
    </w:p>
    <w:p>
      <w:pPr>
        <w:ind w:left="900" w:right="20" w:hanging="271"/>
        <w:spacing w:after="0" w:line="293" w:lineRule="auto"/>
        <w:tabs>
          <w:tab w:leader="none" w:pos="900" w:val="left"/>
        </w:tabs>
        <w:numPr>
          <w:ilvl w:val="1"/>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4" w:lineRule="exact"/>
        <w:rPr>
          <w:rFonts w:ascii="Times New Roman" w:cs="Times New Roman" w:eastAsia="Times New Roman" w:hAnsi="Times New Roman"/>
          <w:sz w:val="13"/>
          <w:szCs w:val="13"/>
          <w:color w:val="auto"/>
        </w:rPr>
      </w:pPr>
    </w:p>
    <w:p>
      <w:pPr>
        <w:ind w:left="620" w:right="80" w:hanging="341"/>
        <w:spacing w:after="0" w:line="293" w:lineRule="auto"/>
        <w:tabs>
          <w:tab w:leader="none" w:pos="620"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14" w:lineRule="exact"/>
        <w:rPr>
          <w:rFonts w:ascii="Times New Roman" w:cs="Times New Roman" w:eastAsia="Times New Roman" w:hAnsi="Times New Roman"/>
          <w:sz w:val="13"/>
          <w:szCs w:val="13"/>
          <w:color w:val="auto"/>
        </w:rPr>
      </w:pPr>
    </w:p>
    <w:p>
      <w:pPr>
        <w:ind w:left="900" w:right="20" w:hanging="271"/>
        <w:spacing w:after="0" w:line="293" w:lineRule="auto"/>
        <w:tabs>
          <w:tab w:leader="none" w:pos="900" w:val="left"/>
        </w:tabs>
        <w:numPr>
          <w:ilvl w:val="1"/>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4" w:lineRule="exact"/>
        <w:rPr>
          <w:rFonts w:ascii="Times New Roman" w:cs="Times New Roman" w:eastAsia="Times New Roman" w:hAnsi="Times New Roman"/>
          <w:sz w:val="13"/>
          <w:szCs w:val="13"/>
          <w:color w:val="auto"/>
        </w:rPr>
      </w:pPr>
    </w:p>
    <w:p>
      <w:pPr>
        <w:ind w:left="900" w:hanging="271"/>
        <w:spacing w:after="0"/>
        <w:tabs>
          <w:tab w:leader="none" w:pos="900" w:val="left"/>
        </w:tabs>
        <w:numPr>
          <w:ilvl w:val="1"/>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Dated: April 27, 2026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By: </w:t>
      </w:r>
      <w:r>
        <w:rPr>
          <w:rFonts w:ascii="Times New Roman" w:cs="Times New Roman" w:eastAsia="Times New Roman" w:hAnsi="Times New Roman"/>
          <w:sz w:val="13"/>
          <w:szCs w:val="13"/>
          <w:u w:val="single" w:color="auto"/>
          <w:color w:val="auto"/>
        </w:rPr>
        <w:t>/s/ Gerasimos (Jerry) Kalogiratos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Name: Gerasimos (Jerry) Kalogiratos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Title: Chief Executive Officer</w:t>
      </w:r>
    </w:p>
    <w:p>
      <w:pPr>
        <w:sectPr>
          <w:pgSz w:w="11900" w:h="16838" w:orient="portrait"/>
          <w:cols w:equalWidth="0" w:num="1">
            <w:col w:w="11280"/>
          </w:cols>
          <w:pgMar w:left="300" w:top="125" w:right="31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3"/>
          <w:szCs w:val="13"/>
          <w:b w:val="1"/>
          <w:bCs w:val="1"/>
          <w:color w:val="auto"/>
        </w:rPr>
        <w:t>Exhibit 12.2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 CHIEF FINANCIAL OFFICER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Nikolaos Kalapotharakos, certify that:</w:t>
      </w:r>
    </w:p>
    <w:p>
      <w:pPr>
        <w:spacing w:after="0" w:line="170" w:lineRule="exact"/>
        <w:rPr>
          <w:sz w:val="20"/>
          <w:szCs w:val="20"/>
          <w:color w:val="auto"/>
        </w:rPr>
      </w:pPr>
    </w:p>
    <w:p>
      <w:pPr>
        <w:ind w:left="620" w:hanging="341"/>
        <w:spacing w:after="0"/>
        <w:tabs>
          <w:tab w:leader="none" w:pos="620" w:val="left"/>
        </w:tabs>
        <w:numPr>
          <w:ilvl w:val="0"/>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20-F of Capital Clean Energy Carriers Corp.;</w:t>
      </w:r>
    </w:p>
    <w:p>
      <w:pPr>
        <w:spacing w:after="0" w:line="169" w:lineRule="exact"/>
        <w:rPr>
          <w:rFonts w:ascii="Times New Roman" w:cs="Times New Roman" w:eastAsia="Times New Roman" w:hAnsi="Times New Roman"/>
          <w:sz w:val="13"/>
          <w:szCs w:val="13"/>
          <w:color w:val="auto"/>
        </w:rPr>
      </w:pPr>
    </w:p>
    <w:p>
      <w:pPr>
        <w:ind w:left="620" w:right="20" w:hanging="341"/>
        <w:spacing w:after="0" w:line="293" w:lineRule="auto"/>
        <w:tabs>
          <w:tab w:leader="none" w:pos="620" w:val="left"/>
        </w:tabs>
        <w:numPr>
          <w:ilvl w:val="0"/>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3"/>
          <w:szCs w:val="13"/>
          <w:color w:val="auto"/>
        </w:rPr>
      </w:pPr>
    </w:p>
    <w:p>
      <w:pPr>
        <w:ind w:left="620" w:right="20" w:hanging="341"/>
        <w:spacing w:after="0" w:line="293" w:lineRule="auto"/>
        <w:tabs>
          <w:tab w:leader="none" w:pos="620" w:val="left"/>
        </w:tabs>
        <w:numPr>
          <w:ilvl w:val="0"/>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4" w:lineRule="exact"/>
        <w:rPr>
          <w:rFonts w:ascii="Times New Roman" w:cs="Times New Roman" w:eastAsia="Times New Roman" w:hAnsi="Times New Roman"/>
          <w:sz w:val="13"/>
          <w:szCs w:val="13"/>
          <w:color w:val="auto"/>
        </w:rPr>
      </w:pPr>
    </w:p>
    <w:p>
      <w:pPr>
        <w:ind w:left="620" w:right="20" w:hanging="341"/>
        <w:spacing w:after="0" w:line="293" w:lineRule="auto"/>
        <w:tabs>
          <w:tab w:leader="none" w:pos="620" w:val="left"/>
        </w:tabs>
        <w:numPr>
          <w:ilvl w:val="0"/>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24" w:lineRule="exact"/>
        <w:rPr>
          <w:rFonts w:ascii="Times New Roman" w:cs="Times New Roman" w:eastAsia="Times New Roman" w:hAnsi="Times New Roman"/>
          <w:sz w:val="13"/>
          <w:szCs w:val="13"/>
          <w:color w:val="auto"/>
        </w:rPr>
      </w:pPr>
    </w:p>
    <w:p>
      <w:pPr>
        <w:ind w:left="900" w:right="20" w:hanging="271"/>
        <w:spacing w:after="0" w:line="293" w:lineRule="auto"/>
        <w:tabs>
          <w:tab w:leader="none" w:pos="900" w:val="left"/>
        </w:tabs>
        <w:numPr>
          <w:ilvl w:val="1"/>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3"/>
          <w:szCs w:val="13"/>
          <w:color w:val="auto"/>
        </w:rPr>
      </w:pPr>
    </w:p>
    <w:p>
      <w:pPr>
        <w:ind w:left="900" w:right="20" w:hanging="271"/>
        <w:spacing w:after="0" w:line="293" w:lineRule="auto"/>
        <w:tabs>
          <w:tab w:leader="none" w:pos="900" w:val="left"/>
        </w:tabs>
        <w:numPr>
          <w:ilvl w:val="1"/>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3"/>
          <w:szCs w:val="13"/>
          <w:color w:val="auto"/>
        </w:rPr>
      </w:pPr>
    </w:p>
    <w:p>
      <w:pPr>
        <w:ind w:left="900" w:right="20" w:hanging="271"/>
        <w:spacing w:after="0" w:line="293" w:lineRule="auto"/>
        <w:tabs>
          <w:tab w:leader="none" w:pos="900" w:val="left"/>
        </w:tabs>
        <w:numPr>
          <w:ilvl w:val="1"/>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3"/>
          <w:szCs w:val="13"/>
          <w:color w:val="auto"/>
        </w:rPr>
      </w:pPr>
    </w:p>
    <w:p>
      <w:pPr>
        <w:ind w:left="900" w:right="20" w:hanging="271"/>
        <w:spacing w:after="0" w:line="293" w:lineRule="auto"/>
        <w:tabs>
          <w:tab w:leader="none" w:pos="900" w:val="left"/>
        </w:tabs>
        <w:numPr>
          <w:ilvl w:val="1"/>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4" w:lineRule="exact"/>
        <w:rPr>
          <w:rFonts w:ascii="Times New Roman" w:cs="Times New Roman" w:eastAsia="Times New Roman" w:hAnsi="Times New Roman"/>
          <w:sz w:val="13"/>
          <w:szCs w:val="13"/>
          <w:color w:val="auto"/>
        </w:rPr>
      </w:pPr>
    </w:p>
    <w:p>
      <w:pPr>
        <w:ind w:left="620" w:right="20" w:hanging="341"/>
        <w:spacing w:after="0" w:line="293" w:lineRule="auto"/>
        <w:tabs>
          <w:tab w:leader="none" w:pos="620" w:val="left"/>
        </w:tabs>
        <w:numPr>
          <w:ilvl w:val="0"/>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4" w:lineRule="exact"/>
        <w:rPr>
          <w:rFonts w:ascii="Times New Roman" w:cs="Times New Roman" w:eastAsia="Times New Roman" w:hAnsi="Times New Roman"/>
          <w:sz w:val="13"/>
          <w:szCs w:val="13"/>
          <w:color w:val="auto"/>
        </w:rPr>
      </w:pPr>
    </w:p>
    <w:p>
      <w:pPr>
        <w:ind w:left="900" w:right="20" w:hanging="271"/>
        <w:spacing w:after="0" w:line="293" w:lineRule="auto"/>
        <w:tabs>
          <w:tab w:leader="none" w:pos="900" w:val="left"/>
        </w:tabs>
        <w:numPr>
          <w:ilvl w:val="1"/>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4" w:lineRule="exact"/>
        <w:rPr>
          <w:rFonts w:ascii="Times New Roman" w:cs="Times New Roman" w:eastAsia="Times New Roman" w:hAnsi="Times New Roman"/>
          <w:sz w:val="13"/>
          <w:szCs w:val="13"/>
          <w:color w:val="auto"/>
        </w:rPr>
      </w:pPr>
    </w:p>
    <w:p>
      <w:pPr>
        <w:ind w:left="900" w:hanging="271"/>
        <w:spacing w:after="0"/>
        <w:tabs>
          <w:tab w:leader="none" w:pos="900" w:val="left"/>
        </w:tabs>
        <w:numPr>
          <w:ilvl w:val="1"/>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Dated: April 27, 2026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By: </w:t>
      </w:r>
      <w:r>
        <w:rPr>
          <w:rFonts w:ascii="Times New Roman" w:cs="Times New Roman" w:eastAsia="Times New Roman" w:hAnsi="Times New Roman"/>
          <w:sz w:val="13"/>
          <w:szCs w:val="13"/>
          <w:u w:val="single" w:color="auto"/>
          <w:color w:val="auto"/>
        </w:rPr>
        <w:t>/s/ Nikolaos Kalapotharakos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Name: Nikolaos Kalapotharakos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Title: Chief Financial Officer</w:t>
      </w:r>
    </w:p>
    <w:p>
      <w:pPr>
        <w:sectPr>
          <w:pgSz w:w="11900" w:h="16838" w:orient="portrait"/>
          <w:cols w:equalWidth="0" w:num="1">
            <w:col w:w="11280"/>
          </w:cols>
          <w:pgMar w:left="300" w:top="285" w:right="31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3"/>
          <w:szCs w:val="13"/>
          <w:b w:val="1"/>
          <w:bCs w:val="1"/>
          <w:color w:val="auto"/>
        </w:rPr>
        <w:t>Exhibit 13.1</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18 U.S.C. Section 1350 As Adopted Pursuant to Section 906 of the Sarbanes-Oxley Act of 2002</w:t>
      </w:r>
    </w:p>
    <w:p>
      <w:pPr>
        <w:spacing w:after="0" w:line="147"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3"/>
          <w:szCs w:val="13"/>
          <w:color w:val="auto"/>
        </w:rPr>
        <w:t>In connection with the annual report on Form 20-F of Capital Clean Energy Carriers Corp., a corporation organized under the laws of the Republic of the Marshall Islands (the “Company”), for the period ended December 31, 2025 as filed with the Securities and Exchange Commission on the date hereof (the “Report”), the undersigned officer of the Company certifies pursuant to 18 U.S.C. Section 1350, as adopted pursuant to Section 906 of the Sarbanes-Oxley Act of 2002 that, to his knowledge:</w:t>
      </w:r>
    </w:p>
    <w:p>
      <w:pPr>
        <w:spacing w:after="0" w:line="132" w:lineRule="exact"/>
        <w:rPr>
          <w:sz w:val="20"/>
          <w:szCs w:val="20"/>
          <w:color w:val="auto"/>
        </w:rPr>
      </w:pPr>
    </w:p>
    <w:p>
      <w:pPr>
        <w:ind w:left="760" w:hanging="411"/>
        <w:spacing w:after="0"/>
        <w:tabs>
          <w:tab w:leader="none" w:pos="760" w:val="left"/>
        </w:tabs>
        <w:numPr>
          <w:ilvl w:val="0"/>
          <w:numId w:val="1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and</w:t>
      </w:r>
    </w:p>
    <w:p>
      <w:pPr>
        <w:spacing w:after="0" w:line="169" w:lineRule="exact"/>
        <w:rPr>
          <w:rFonts w:ascii="Times New Roman" w:cs="Times New Roman" w:eastAsia="Times New Roman" w:hAnsi="Times New Roman"/>
          <w:sz w:val="13"/>
          <w:szCs w:val="13"/>
          <w:color w:val="auto"/>
        </w:rPr>
      </w:pPr>
    </w:p>
    <w:p>
      <w:pPr>
        <w:ind w:left="760" w:hanging="411"/>
        <w:spacing w:after="0"/>
        <w:tabs>
          <w:tab w:leader="none" w:pos="760" w:val="left"/>
        </w:tabs>
        <w:numPr>
          <w:ilvl w:val="0"/>
          <w:numId w:val="1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Dated: April 27, 2026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By: </w:t>
      </w:r>
      <w:r>
        <w:rPr>
          <w:rFonts w:ascii="Times New Roman" w:cs="Times New Roman" w:eastAsia="Times New Roman" w:hAnsi="Times New Roman"/>
          <w:sz w:val="13"/>
          <w:szCs w:val="13"/>
          <w:u w:val="single" w:color="auto"/>
          <w:color w:val="auto"/>
        </w:rPr>
        <w:t>/s/ Gerasimos (Jerry) Kalogiratos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Name: Gerasimos (Jerry) Kalogiratos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Title: Chief Executive Officer</w:t>
      </w:r>
    </w:p>
    <w:p>
      <w:pPr>
        <w:sectPr>
          <w:pgSz w:w="11900" w:h="16838" w:orient="portrait"/>
          <w:cols w:equalWidth="0" w:num="1">
            <w:col w:w="11280"/>
          </w:cols>
          <w:pgMar w:left="300" w:top="285" w:right="31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3"/>
          <w:szCs w:val="13"/>
          <w:b w:val="1"/>
          <w:bCs w:val="1"/>
          <w:color w:val="auto"/>
        </w:rPr>
        <w:t>Exhibit 13.2</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18 U.S.C. Section 1350 As Adopted Pursuant to Section 906 of the Sarbanes-Oxley Act of 2002</w:t>
      </w:r>
    </w:p>
    <w:p>
      <w:pPr>
        <w:spacing w:after="0" w:line="147"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3"/>
          <w:szCs w:val="13"/>
          <w:color w:val="auto"/>
        </w:rPr>
        <w:t>In connection with the annual report on Form 20-F of Capital Clean Energy Carriers Corp., a corporation organized under the laws of the Republic of the Marshall Islands (the “Company”), for the period ended December 31, 2025 as filed with the Securities and Exchange Commission on the date hereof (the “Report”), the undersigned officer of the Company certifies pursuant to 18 U.S.C. Section 1350, as adopted pursuant to Section 906 of the Sarbanes-Oxley Act of 2002 that, to his knowledge:</w:t>
      </w:r>
    </w:p>
    <w:p>
      <w:pPr>
        <w:spacing w:after="0" w:line="132" w:lineRule="exact"/>
        <w:rPr>
          <w:sz w:val="20"/>
          <w:szCs w:val="20"/>
          <w:color w:val="auto"/>
        </w:rPr>
      </w:pPr>
    </w:p>
    <w:p>
      <w:pPr>
        <w:ind w:left="760" w:hanging="411"/>
        <w:spacing w:after="0"/>
        <w:tabs>
          <w:tab w:leader="none" w:pos="760" w:val="left"/>
        </w:tabs>
        <w:numPr>
          <w:ilvl w:val="0"/>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3"/>
          <w:szCs w:val="13"/>
          <w:color w:val="auto"/>
        </w:rPr>
      </w:pPr>
    </w:p>
    <w:p>
      <w:pPr>
        <w:ind w:left="760" w:hanging="411"/>
        <w:spacing w:after="0"/>
        <w:tabs>
          <w:tab w:leader="none" w:pos="760" w:val="left"/>
        </w:tabs>
        <w:numPr>
          <w:ilvl w:val="0"/>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Dated: April 27, 2026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By: </w:t>
      </w:r>
      <w:r>
        <w:rPr>
          <w:rFonts w:ascii="Times New Roman" w:cs="Times New Roman" w:eastAsia="Times New Roman" w:hAnsi="Times New Roman"/>
          <w:sz w:val="13"/>
          <w:szCs w:val="13"/>
          <w:u w:val="single" w:color="auto"/>
          <w:color w:val="auto"/>
        </w:rPr>
        <w:t>/s/ Nikolaos Kalapotharakos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Name: Nikolaos Kalapotharakos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Title: Chief Financial Officer</w:t>
      </w:r>
    </w:p>
    <w:p>
      <w:pPr>
        <w:sectPr>
          <w:pgSz w:w="11900" w:h="16838" w:orient="portrait"/>
          <w:cols w:equalWidth="0" w:num="1">
            <w:col w:w="11280"/>
          </w:cols>
          <w:pgMar w:left="300" w:top="285" w:right="31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3"/>
          <w:szCs w:val="13"/>
          <w:b w:val="1"/>
          <w:bCs w:val="1"/>
          <w:color w:val="auto"/>
        </w:rPr>
        <w:t>Exhibit 15.1</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CONSENT OF INDEPENDENT REGISTERED PUBLIC ACCOUNTING FIRM</w:t>
      </w:r>
    </w:p>
    <w:p>
      <w:pPr>
        <w:spacing w:after="0" w:line="1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We consent to the incorporation by reference in Registration Statement Nos. 333-282610, 333-286825 and 333-287895 on Form F-3 of our reports dated April 27, 2026, relating to the consolidated financial statements of Capital Clean Energy Carriers Corp. and the effectiveness of Capital Clean Energy Carriers Corp.’s internal control over financial reporting appearing in this Annual Report on Form 20-F for the year ended December 31, 2025.</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Deloitte Certified Public Accountants S.A.</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Athens, Greece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April 27, 2026</w:t>
      </w:r>
    </w:p>
    <w:sectPr>
      <w:pgSz w:w="11900" w:h="16838" w:orient="portrait"/>
      <w:cols w:equalWidth="0" w:num="1">
        <w:col w:w="11280"/>
      </w:cols>
      <w:pgMar w:left="30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22E7CD"/>
    <w:multiLevelType w:val="hybridMultilevel"/>
    <w:lvl w:ilvl="0">
      <w:lvlJc w:val="left"/>
      <w:lvlText w:val="☐"/>
      <w:numFmt w:val="bullet"/>
      <w:start w:val="1"/>
    </w:lvl>
  </w:abstractNum>
  <w:abstractNum w:abstractNumId="1">
    <w:nsid w:val="74DE0EE3"/>
    <w:multiLevelType w:val="hybridMultilevel"/>
    <w:lvl w:ilvl="0">
      <w:lvlJc w:val="left"/>
      <w:lvlText w:val="☒"/>
      <w:numFmt w:val="bullet"/>
      <w:start w:val="1"/>
    </w:lvl>
  </w:abstractNum>
  <w:abstractNum w:abstractNumId="2">
    <w:nsid w:val="68EBC550"/>
    <w:multiLevelType w:val="hybridMultilevel"/>
    <w:lvl w:ilvl="0">
      <w:lvlJc w:val="left"/>
      <w:lvlText w:val="☐"/>
      <w:numFmt w:val="bullet"/>
      <w:start w:val="1"/>
    </w:lvl>
  </w:abstractNum>
  <w:abstractNum w:abstractNumId="3">
    <w:nsid w:val="2DF6D648"/>
    <w:multiLevelType w:val="hybridMultilevel"/>
    <w:lvl w:ilvl="0">
      <w:lvlJc w:val="left"/>
      <w:lvlText w:val="☐"/>
      <w:numFmt w:val="bullet"/>
      <w:start w:val="1"/>
    </w:lvl>
  </w:abstractNum>
  <w:abstractNum w:abstractNumId="4">
    <w:nsid w:val="46B7D447"/>
    <w:multiLevelType w:val="hybridMultilevel"/>
    <w:lvl w:ilvl="0">
      <w:lvlJc w:val="left"/>
      <w:lvlText w:val="·"/>
      <w:numFmt w:val="bullet"/>
      <w:start w:val="1"/>
    </w:lvl>
  </w:abstractNum>
  <w:abstractNum w:abstractNumId="5">
    <w:nsid w:val="4A2AC315"/>
    <w:multiLevelType w:val="hybridMultilevel"/>
    <w:lvl w:ilvl="0">
      <w:lvlJc w:val="left"/>
      <w:lvlText w:val="·"/>
      <w:numFmt w:val="bullet"/>
      <w:start w:val="1"/>
    </w:lvl>
  </w:abstractNum>
  <w:abstractNum w:abstractNumId="6">
    <w:nsid w:val="39EE015C"/>
    <w:multiLevelType w:val="hybridMultilevel"/>
    <w:lvl w:ilvl="0">
      <w:lvlJc w:val="left"/>
      <w:lvlText w:val="·"/>
      <w:numFmt w:val="bullet"/>
      <w:start w:val="1"/>
    </w:lvl>
  </w:abstractNum>
  <w:abstractNum w:abstractNumId="7">
    <w:nsid w:val="57FC4FBB"/>
    <w:multiLevelType w:val="hybridMultilevel"/>
    <w:lvl w:ilvl="0">
      <w:lvlJc w:val="left"/>
      <w:lvlText w:val="·"/>
      <w:numFmt w:val="bullet"/>
      <w:start w:val="1"/>
    </w:lvl>
  </w:abstractNum>
  <w:abstractNum w:abstractNumId="8">
    <w:nsid w:val="CC1016F"/>
    <w:multiLevelType w:val="hybridMultilevel"/>
    <w:lvl w:ilvl="0">
      <w:lvlJc w:val="left"/>
      <w:lvlText w:val="%1."/>
      <w:numFmt w:val="upperLetter"/>
      <w:start w:val="1"/>
    </w:lvl>
  </w:abstractNum>
  <w:abstractNum w:abstractNumId="9">
    <w:nsid w:val="43F18422"/>
    <w:multiLevelType w:val="hybridMultilevel"/>
    <w:lvl w:ilvl="0">
      <w:lvlJc w:val="left"/>
      <w:lvlText w:val="·"/>
      <w:numFmt w:val="bullet"/>
      <w:start w:val="1"/>
    </w:lvl>
  </w:abstractNum>
  <w:abstractNum w:abstractNumId="10">
    <w:nsid w:val="60EF0119"/>
    <w:multiLevelType w:val="hybridMultilevel"/>
    <w:lvl w:ilvl="0">
      <w:lvlJc w:val="left"/>
      <w:lvlText w:val="·"/>
      <w:numFmt w:val="bullet"/>
      <w:start w:val="1"/>
    </w:lvl>
    <w:lvl w:ilvl="1">
      <w:lvlJc w:val="left"/>
      <w:lvlText w:val="·"/>
      <w:numFmt w:val="bullet"/>
      <w:start w:val="1"/>
    </w:lvl>
  </w:abstractNum>
  <w:abstractNum w:abstractNumId="11">
    <w:nsid w:val="26F324BA"/>
    <w:multiLevelType w:val="hybridMultilevel"/>
    <w:lvl w:ilvl="0">
      <w:lvlJc w:val="left"/>
      <w:lvlText w:val="·"/>
      <w:numFmt w:val="bullet"/>
      <w:start w:val="1"/>
    </w:lvl>
    <w:lvl w:ilvl="1">
      <w:lvlJc w:val="left"/>
      <w:lvlText w:val="·"/>
      <w:numFmt w:val="bullet"/>
      <w:start w:val="1"/>
    </w:lvl>
  </w:abstractNum>
  <w:abstractNum w:abstractNumId="12">
    <w:nsid w:val="7F01579B"/>
    <w:multiLevelType w:val="hybridMultilevel"/>
    <w:lvl w:ilvl="0">
      <w:lvlJc w:val="left"/>
      <w:lvlText w:val="·"/>
      <w:numFmt w:val="bullet"/>
      <w:start w:val="1"/>
    </w:lvl>
  </w:abstractNum>
  <w:abstractNum w:abstractNumId="13">
    <w:nsid w:val="49DA307D"/>
    <w:multiLevelType w:val="hybridMultilevel"/>
    <w:lvl w:ilvl="0">
      <w:lvlJc w:val="left"/>
      <w:lvlText w:val="·"/>
      <w:numFmt w:val="bullet"/>
      <w:start w:val="1"/>
    </w:lvl>
  </w:abstractNum>
  <w:abstractNum w:abstractNumId="14">
    <w:nsid w:val="7055A5F5"/>
    <w:multiLevelType w:val="hybridMultilevel"/>
    <w:lvl w:ilvl="0">
      <w:lvlJc w:val="left"/>
      <w:lvlText w:val="·"/>
      <w:numFmt w:val="bullet"/>
      <w:start w:val="1"/>
    </w:lvl>
  </w:abstractNum>
  <w:abstractNum w:abstractNumId="15">
    <w:nsid w:val="5FB8370B"/>
    <w:multiLevelType w:val="hybridMultilevel"/>
    <w:lvl w:ilvl="0">
      <w:lvlJc w:val="left"/>
      <w:lvlText w:val="·"/>
      <w:numFmt w:val="bullet"/>
      <w:start w:val="1"/>
    </w:lvl>
  </w:abstractNum>
  <w:abstractNum w:abstractNumId="16">
    <w:nsid w:val="50801EE1"/>
    <w:multiLevelType w:val="hybridMultilevel"/>
    <w:lvl w:ilvl="0">
      <w:lvlJc w:val="left"/>
      <w:lvlText w:val="·"/>
      <w:numFmt w:val="bullet"/>
      <w:start w:val="1"/>
    </w:lvl>
  </w:abstractNum>
  <w:abstractNum w:abstractNumId="17">
    <w:nsid w:val="488AC1A"/>
    <w:multiLevelType w:val="hybridMultilevel"/>
    <w:lvl w:ilvl="0">
      <w:lvlJc w:val="left"/>
      <w:lvlText w:val="·"/>
      <w:numFmt w:val="bullet"/>
      <w:start w:val="1"/>
    </w:lvl>
    <w:lvl w:ilvl="1">
      <w:lvlJc w:val="left"/>
      <w:lvlText w:val="·"/>
      <w:numFmt w:val="bullet"/>
      <w:start w:val="1"/>
    </w:lvl>
  </w:abstractNum>
  <w:abstractNum w:abstractNumId="18">
    <w:nsid w:val="5FB8011C"/>
    <w:multiLevelType w:val="hybridMultilevel"/>
    <w:lvl w:ilvl="0">
      <w:lvlJc w:val="left"/>
      <w:lvlText w:val="·"/>
      <w:numFmt w:val="bullet"/>
      <w:start w:val="1"/>
    </w:lvl>
  </w:abstractNum>
  <w:abstractNum w:abstractNumId="19">
    <w:nsid w:val="6AA78F7F"/>
    <w:multiLevelType w:val="hybridMultilevel"/>
    <w:lvl w:ilvl="0">
      <w:lvlJc w:val="left"/>
      <w:lvlText w:val="·"/>
      <w:numFmt w:val="bullet"/>
      <w:start w:val="1"/>
    </w:lvl>
  </w:abstractNum>
  <w:abstractNum w:abstractNumId="20">
    <w:nsid w:val="7672BD23"/>
    <w:multiLevelType w:val="hybridMultilevel"/>
    <w:lvl w:ilvl="0">
      <w:lvlJc w:val="left"/>
      <w:lvlText w:val="·"/>
      <w:numFmt w:val="bullet"/>
      <w:start w:val="1"/>
    </w:lvl>
  </w:abstractNum>
  <w:abstractNum w:abstractNumId="21">
    <w:nsid w:val="6FC75AF8"/>
    <w:multiLevelType w:val="hybridMultilevel"/>
    <w:lvl w:ilvl="0">
      <w:lvlJc w:val="left"/>
      <w:lvlText w:val="(%1)"/>
      <w:numFmt w:val="lowerRoman"/>
      <w:start w:val="4"/>
    </w:lvl>
  </w:abstractNum>
  <w:abstractNum w:abstractNumId="22">
    <w:nsid w:val="6A5F7029"/>
    <w:multiLevelType w:val="hybridMultilevel"/>
    <w:lvl w:ilvl="0">
      <w:lvlJc w:val="left"/>
      <w:lvlText w:val="·"/>
      <w:numFmt w:val="bullet"/>
      <w:start w:val="1"/>
    </w:lvl>
  </w:abstractNum>
  <w:abstractNum w:abstractNumId="23">
    <w:nsid w:val="7D5E18F8"/>
    <w:multiLevelType w:val="hybridMultilevel"/>
    <w:lvl w:ilvl="0">
      <w:lvlJc w:val="left"/>
      <w:lvlText w:val="·"/>
      <w:numFmt w:val="bullet"/>
      <w:start w:val="1"/>
    </w:lvl>
  </w:abstractNum>
  <w:abstractNum w:abstractNumId="24">
    <w:nsid w:val="5F3534A4"/>
    <w:multiLevelType w:val="hybridMultilevel"/>
    <w:lvl w:ilvl="0">
      <w:lvlJc w:val="left"/>
      <w:lvlText w:val="·"/>
      <w:numFmt w:val="bullet"/>
      <w:start w:val="1"/>
    </w:lvl>
  </w:abstractNum>
  <w:abstractNum w:abstractNumId="25">
    <w:nsid w:val="73A1821B"/>
    <w:multiLevelType w:val="hybridMultilevel"/>
    <w:lvl w:ilvl="0">
      <w:lvlJc w:val="left"/>
      <w:lvlText w:val="·"/>
      <w:numFmt w:val="bullet"/>
      <w:start w:val="1"/>
    </w:lvl>
  </w:abstractNum>
  <w:abstractNum w:abstractNumId="26">
    <w:nsid w:val="7DE67713"/>
    <w:multiLevelType w:val="hybridMultilevel"/>
    <w:lvl w:ilvl="0">
      <w:lvlJc w:val="left"/>
      <w:lvlText w:val="·"/>
      <w:numFmt w:val="bullet"/>
      <w:start w:val="1"/>
    </w:lvl>
  </w:abstractNum>
  <w:abstractNum w:abstractNumId="27">
    <w:nsid w:val="555C55B5"/>
    <w:multiLevelType w:val="hybridMultilevel"/>
    <w:lvl w:ilvl="0">
      <w:lvlJc w:val="left"/>
      <w:lvlText w:val="·"/>
      <w:numFmt w:val="bullet"/>
      <w:start w:val="1"/>
    </w:lvl>
    <w:lvl w:ilvl="1">
      <w:lvlJc w:val="left"/>
      <w:lvlText w:val="·"/>
      <w:numFmt w:val="bullet"/>
      <w:start w:val="1"/>
    </w:lvl>
  </w:abstractNum>
  <w:abstractNum w:abstractNumId="28">
    <w:nsid w:val="3FA62ACA"/>
    <w:multiLevelType w:val="hybridMultilevel"/>
    <w:lvl w:ilvl="0">
      <w:lvlJc w:val="left"/>
      <w:lvlText w:val="·"/>
      <w:numFmt w:val="bullet"/>
      <w:start w:val="1"/>
    </w:lvl>
  </w:abstractNum>
  <w:abstractNum w:abstractNumId="29">
    <w:nsid w:val="14FCE74E"/>
    <w:multiLevelType w:val="hybridMultilevel"/>
    <w:lvl w:ilvl="0">
      <w:lvlJc w:val="left"/>
      <w:lvlText w:val="·"/>
      <w:numFmt w:val="bullet"/>
      <w:start w:val="1"/>
    </w:lvl>
  </w:abstractNum>
  <w:abstractNum w:abstractNumId="30">
    <w:nsid w:val="6A3DD3E8"/>
    <w:multiLevelType w:val="hybridMultilevel"/>
    <w:lvl w:ilvl="0">
      <w:lvlJc w:val="left"/>
      <w:lvlText w:val="%1."/>
      <w:numFmt w:val="upperLetter"/>
      <w:start w:val="1"/>
    </w:lvl>
  </w:abstractNum>
  <w:abstractNum w:abstractNumId="31">
    <w:nsid w:val="71C91298"/>
    <w:multiLevelType w:val="hybridMultilevel"/>
    <w:lvl w:ilvl="0">
      <w:lvlJc w:val="left"/>
      <w:lvlText w:val="*"/>
      <w:numFmt w:val="bullet"/>
      <w:start w:val="1"/>
    </w:lvl>
  </w:abstractNum>
  <w:abstractNum w:abstractNumId="32">
    <w:nsid w:val="9DAF632"/>
    <w:multiLevelType w:val="hybridMultilevel"/>
    <w:lvl w:ilvl="0">
      <w:lvlJc w:val="left"/>
      <w:lvlText w:val="**"/>
      <w:numFmt w:val="bullet"/>
      <w:start w:val="1"/>
    </w:lvl>
  </w:abstractNum>
  <w:abstractNum w:abstractNumId="33">
    <w:nsid w:val="53299938"/>
    <w:multiLevelType w:val="hybridMultilevel"/>
    <w:lvl w:ilvl="0">
      <w:lvlJc w:val="left"/>
      <w:lvlText w:val="*"/>
      <w:numFmt w:val="bullet"/>
      <w:start w:val="1"/>
    </w:lvl>
  </w:abstractNum>
  <w:abstractNum w:abstractNumId="34">
    <w:nsid w:val="1FBFE8E0"/>
    <w:multiLevelType w:val="hybridMultilevel"/>
    <w:lvl w:ilvl="0">
      <w:lvlJc w:val="left"/>
      <w:lvlText w:val="*"/>
      <w:numFmt w:val="bullet"/>
      <w:start w:val="1"/>
    </w:lvl>
  </w:abstractNum>
  <w:abstractNum w:abstractNumId="35">
    <w:nsid w:val="5092CA79"/>
    <w:multiLevelType w:val="hybridMultilevel"/>
    <w:lvl w:ilvl="0">
      <w:lvlJc w:val="left"/>
      <w:lvlText w:val="*"/>
      <w:numFmt w:val="bullet"/>
      <w:start w:val="1"/>
    </w:lvl>
  </w:abstractNum>
  <w:abstractNum w:abstractNumId="36">
    <w:nsid w:val="1D545C4D"/>
    <w:multiLevelType w:val="hybridMultilevel"/>
    <w:lvl w:ilvl="0">
      <w:lvlJc w:val="left"/>
      <w:lvlText w:val="·"/>
      <w:numFmt w:val="bullet"/>
      <w:start w:val="1"/>
    </w:lvl>
  </w:abstractNum>
  <w:abstractNum w:abstractNumId="37">
    <w:nsid w:val="59ADEA3D"/>
    <w:multiLevelType w:val="hybridMultilevel"/>
    <w:lvl w:ilvl="0">
      <w:lvlJc w:val="left"/>
      <w:lvlText w:val="·"/>
      <w:numFmt w:val="bullet"/>
      <w:start w:val="1"/>
    </w:lvl>
  </w:abstractNum>
  <w:abstractNum w:abstractNumId="38">
    <w:nsid w:val="288F1A34"/>
    <w:multiLevelType w:val="hybridMultilevel"/>
    <w:lvl w:ilvl="0">
      <w:lvlJc w:val="left"/>
      <w:lvlText w:val="·"/>
      <w:numFmt w:val="bullet"/>
      <w:start w:val="1"/>
    </w:lvl>
  </w:abstractNum>
  <w:abstractNum w:abstractNumId="39">
    <w:nsid w:val="2A155DBC"/>
    <w:multiLevelType w:val="hybridMultilevel"/>
    <w:lvl w:ilvl="0">
      <w:lvlJc w:val="left"/>
      <w:lvlText w:val="·"/>
      <w:numFmt w:val="bullet"/>
      <w:start w:val="1"/>
    </w:lvl>
  </w:abstractNum>
  <w:abstractNum w:abstractNumId="40">
    <w:nsid w:val="1D9F6E5F"/>
    <w:multiLevelType w:val="hybridMultilevel"/>
    <w:lvl w:ilvl="0">
      <w:lvlJc w:val="left"/>
      <w:lvlText w:val="%1."/>
      <w:numFmt w:val="upperLetter"/>
      <w:start w:val="2"/>
    </w:lvl>
  </w:abstractNum>
  <w:abstractNum w:abstractNumId="41">
    <w:nsid w:val="97E1B4E"/>
    <w:multiLevelType w:val="hybridMultilevel"/>
    <w:lvl w:ilvl="0">
      <w:lvlJc w:val="left"/>
      <w:lvlText w:val="·"/>
      <w:numFmt w:val="bullet"/>
      <w:start w:val="1"/>
    </w:lvl>
  </w:abstractNum>
  <w:abstractNum w:abstractNumId="42">
    <w:nsid w:val="51088277"/>
    <w:multiLevelType w:val="hybridMultilevel"/>
    <w:lvl w:ilvl="0">
      <w:lvlJc w:val="left"/>
      <w:lvlText w:val="·"/>
      <w:numFmt w:val="bullet"/>
      <w:start w:val="1"/>
    </w:lvl>
  </w:abstractNum>
  <w:abstractNum w:abstractNumId="43">
    <w:nsid w:val="1CA0C5FA"/>
    <w:multiLevelType w:val="hybridMultilevel"/>
    <w:lvl w:ilvl="0">
      <w:lvlJc w:val="left"/>
      <w:lvlText w:val="(%1)"/>
      <w:numFmt w:val="decimal"/>
      <w:start w:val="1"/>
    </w:lvl>
  </w:abstractNum>
  <w:abstractNum w:abstractNumId="44">
    <w:nsid w:val="53584BCB"/>
    <w:multiLevelType w:val="hybridMultilevel"/>
    <w:lvl w:ilvl="0">
      <w:lvlJc w:val="left"/>
      <w:lvlText w:val="·"/>
      <w:numFmt w:val="bullet"/>
      <w:start w:val="1"/>
    </w:lvl>
  </w:abstractNum>
  <w:abstractNum w:abstractNumId="45">
    <w:nsid w:val="415E286C"/>
    <w:multiLevelType w:val="hybridMultilevel"/>
    <w:lvl w:ilvl="0">
      <w:lvlJc w:val="left"/>
      <w:lvlText w:val="·"/>
      <w:numFmt w:val="bullet"/>
      <w:start w:val="1"/>
    </w:lvl>
  </w:abstractNum>
  <w:abstractNum w:abstractNumId="46">
    <w:nsid w:val="7C58FD05"/>
    <w:multiLevelType w:val="hybridMultilevel"/>
    <w:lvl w:ilvl="0">
      <w:lvlJc w:val="left"/>
      <w:lvlText w:val="·"/>
      <w:numFmt w:val="bullet"/>
      <w:start w:val="1"/>
    </w:lvl>
  </w:abstractNum>
  <w:abstractNum w:abstractNumId="47">
    <w:nsid w:val="23D86AAC"/>
    <w:multiLevelType w:val="hybridMultilevel"/>
    <w:lvl w:ilvl="0">
      <w:lvlJc w:val="left"/>
      <w:lvlText w:val="i"/>
      <w:numFmt w:val="bullet"/>
      <w:start w:val="1"/>
    </w:lvl>
  </w:abstractNum>
  <w:abstractNum w:abstractNumId="48">
    <w:nsid w:val="45E6D486"/>
    <w:multiLevelType w:val="hybridMultilevel"/>
    <w:lvl w:ilvl="0">
      <w:lvlJc w:val="left"/>
      <w:lvlText w:val="·"/>
      <w:numFmt w:val="bullet"/>
      <w:start w:val="1"/>
    </w:lvl>
    <w:lvl w:ilvl="1">
      <w:lvlJc w:val="left"/>
      <w:lvlText w:val="·"/>
      <w:numFmt w:val="bullet"/>
      <w:start w:val="1"/>
    </w:lvl>
  </w:abstractNum>
  <w:abstractNum w:abstractNumId="49">
    <w:nsid w:val="5C10FE21"/>
    <w:multiLevelType w:val="hybridMultilevel"/>
    <w:lvl w:ilvl="0">
      <w:lvlJc w:val="left"/>
      <w:lvlText w:val="·"/>
      <w:numFmt w:val="bullet"/>
      <w:start w:val="1"/>
    </w:lvl>
  </w:abstractNum>
  <w:abstractNum w:abstractNumId="50">
    <w:nsid w:val="E7FFA2B"/>
    <w:multiLevelType w:val="hybridMultilevel"/>
    <w:lvl w:ilvl="0">
      <w:lvlJc w:val="left"/>
      <w:lvlText w:val="·"/>
      <w:numFmt w:val="bullet"/>
      <w:start w:val="1"/>
    </w:lvl>
  </w:abstractNum>
  <w:abstractNum w:abstractNumId="51">
    <w:nsid w:val="3C5991AA"/>
    <w:multiLevelType w:val="hybridMultilevel"/>
    <w:lvl w:ilvl="0">
      <w:lvlJc w:val="left"/>
      <w:lvlText w:val="·"/>
      <w:numFmt w:val="bullet"/>
      <w:start w:val="1"/>
    </w:lvl>
  </w:abstractNum>
  <w:abstractNum w:abstractNumId="52">
    <w:nsid w:val="4BD8591A"/>
    <w:multiLevelType w:val="hybridMultilevel"/>
    <w:lvl w:ilvl="0">
      <w:lvlJc w:val="left"/>
      <w:lvlText w:val="·"/>
      <w:numFmt w:val="bullet"/>
      <w:start w:val="1"/>
    </w:lvl>
  </w:abstractNum>
  <w:abstractNum w:abstractNumId="53">
    <w:nsid w:val="78DF6A55"/>
    <w:multiLevelType w:val="hybridMultilevel"/>
    <w:lvl w:ilvl="0">
      <w:lvlJc w:val="left"/>
      <w:lvlText w:val="·"/>
      <w:numFmt w:val="bullet"/>
      <w:start w:val="1"/>
    </w:lvl>
    <w:lvl w:ilvl="1">
      <w:lvlJc w:val="left"/>
      <w:lvlText w:val="·"/>
      <w:numFmt w:val="bullet"/>
      <w:start w:val="1"/>
    </w:lvl>
  </w:abstractNum>
  <w:abstractNum w:abstractNumId="54">
    <w:nsid w:val="39B7AAA2"/>
    <w:multiLevelType w:val="hybridMultilevel"/>
    <w:lvl w:ilvl="0">
      <w:lvlJc w:val="left"/>
      <w:lvlText w:val="·"/>
      <w:numFmt w:val="bullet"/>
      <w:start w:val="1"/>
    </w:lvl>
    <w:lvl w:ilvl="1">
      <w:lvlJc w:val="left"/>
      <w:lvlText w:val="·"/>
      <w:numFmt w:val="bullet"/>
      <w:start w:val="1"/>
    </w:lvl>
  </w:abstractNum>
  <w:abstractNum w:abstractNumId="55">
    <w:nsid w:val="2B0D8DBE"/>
    <w:multiLevelType w:val="hybridMultilevel"/>
    <w:lvl w:ilvl="0">
      <w:lvlJc w:val="left"/>
      <w:lvlText w:val="·"/>
      <w:numFmt w:val="bullet"/>
      <w:start w:val="1"/>
    </w:lvl>
  </w:abstractNum>
  <w:abstractNum w:abstractNumId="56">
    <w:nsid w:val="6C80EC70"/>
    <w:multiLevelType w:val="hybridMultilevel"/>
    <w:lvl w:ilvl="0">
      <w:lvlJc w:val="left"/>
      <w:lvlText w:val="i"/>
      <w:numFmt w:val="bullet"/>
      <w:start w:val="1"/>
    </w:lvl>
  </w:abstractNum>
  <w:abstractNum w:abstractNumId="57">
    <w:nsid w:val="379E21B5"/>
    <w:multiLevelType w:val="hybridMultilevel"/>
    <w:lvl w:ilvl="0">
      <w:lvlJc w:val="left"/>
      <w:lvlText w:val="v"/>
      <w:numFmt w:val="bullet"/>
      <w:start w:val="1"/>
    </w:lvl>
  </w:abstractNum>
  <w:abstractNum w:abstractNumId="58">
    <w:nsid w:val="69E373"/>
    <w:multiLevelType w:val="hybridMultilevel"/>
    <w:lvl w:ilvl="0">
      <w:lvlJc w:val="left"/>
      <w:lvlText w:val="·"/>
      <w:numFmt w:val="bullet"/>
      <w:start w:val="1"/>
    </w:lvl>
  </w:abstractNum>
  <w:abstractNum w:abstractNumId="59">
    <w:nsid w:val="2C27173B"/>
    <w:multiLevelType w:val="hybridMultilevel"/>
    <w:lvl w:ilvl="0">
      <w:lvlJc w:val="left"/>
      <w:lvlText w:val="·"/>
      <w:numFmt w:val="bullet"/>
      <w:start w:val="1"/>
    </w:lvl>
  </w:abstractNum>
  <w:abstractNum w:abstractNumId="60">
    <w:nsid w:val="4C9B0904"/>
    <w:multiLevelType w:val="hybridMultilevel"/>
    <w:lvl w:ilvl="0">
      <w:lvlJc w:val="left"/>
      <w:lvlText w:val="·"/>
      <w:numFmt w:val="bullet"/>
      <w:start w:val="1"/>
    </w:lvl>
  </w:abstractNum>
  <w:abstractNum w:abstractNumId="61">
    <w:nsid w:val="6AA7B75C"/>
    <w:multiLevelType w:val="hybridMultilevel"/>
    <w:lvl w:ilvl="0">
      <w:lvlJc w:val="left"/>
      <w:lvlText w:val="%1."/>
      <w:numFmt w:val="decimal"/>
      <w:start w:val="1"/>
    </w:lvl>
  </w:abstractNum>
  <w:abstractNum w:abstractNumId="62">
    <w:nsid w:val="1DF029D3"/>
    <w:multiLevelType w:val="hybridMultilevel"/>
    <w:lvl w:ilvl="0">
      <w:lvlJc w:val="left"/>
      <w:lvlText w:val="i"/>
      <w:numFmt w:val="bullet"/>
      <w:start w:val="1"/>
    </w:lvl>
  </w:abstractNum>
  <w:abstractNum w:abstractNumId="63">
    <w:nsid w:val="5675FF36"/>
    <w:multiLevelType w:val="hybridMultilevel"/>
    <w:lvl w:ilvl="0">
      <w:lvlJc w:val="left"/>
      <w:lvlText w:val="·"/>
      <w:numFmt w:val="bullet"/>
      <w:start w:val="1"/>
    </w:lvl>
  </w:abstractNum>
  <w:abstractNum w:abstractNumId="64">
    <w:nsid w:val="3DD15094"/>
    <w:multiLevelType w:val="hybridMultilevel"/>
    <w:lvl w:ilvl="0">
      <w:lvlJc w:val="left"/>
      <w:lvlText w:val="%1."/>
      <w:numFmt w:val="upperLetter"/>
      <w:start w:val="3"/>
    </w:lvl>
  </w:abstractNum>
  <w:abstractNum w:abstractNumId="65">
    <w:nsid w:val="3DB012B3"/>
    <w:multiLevelType w:val="hybridMultilevel"/>
    <w:lvl w:ilvl="0">
      <w:lvlJc w:val="left"/>
      <w:lvlText w:val="%1."/>
      <w:numFmt w:val="upperLetter"/>
      <w:start w:val="4"/>
    </w:lvl>
  </w:abstractNum>
  <w:abstractNum w:abstractNumId="66">
    <w:nsid w:val="2708C9AF"/>
    <w:multiLevelType w:val="hybridMultilevel"/>
    <w:lvl w:ilvl="0">
      <w:lvlJc w:val="left"/>
      <w:lvlText w:val="%1."/>
      <w:numFmt w:val="upperLetter"/>
      <w:start w:val="1"/>
    </w:lvl>
  </w:abstractNum>
  <w:abstractNum w:abstractNumId="67">
    <w:nsid w:val="5B25ACE2"/>
    <w:multiLevelType w:val="hybridMultilevel"/>
    <w:lvl w:ilvl="0">
      <w:lvlJc w:val="left"/>
      <w:lvlText w:val="·"/>
      <w:numFmt w:val="bullet"/>
      <w:start w:val="1"/>
    </w:lvl>
  </w:abstractNum>
  <w:abstractNum w:abstractNumId="68">
    <w:nsid w:val="175DFCF0"/>
    <w:multiLevelType w:val="hybridMultilevel"/>
    <w:lvl w:ilvl="0">
      <w:lvlJc w:val="left"/>
      <w:lvlText w:val="·"/>
      <w:numFmt w:val="bullet"/>
      <w:start w:val="1"/>
    </w:lvl>
  </w:abstractNum>
  <w:abstractNum w:abstractNumId="69">
    <w:nsid w:val="4F97E3E4"/>
    <w:multiLevelType w:val="hybridMultilevel"/>
    <w:lvl w:ilvl="0">
      <w:lvlJc w:val="left"/>
      <w:lvlText w:val="·"/>
      <w:numFmt w:val="bullet"/>
      <w:start w:val="1"/>
    </w:lvl>
  </w:abstractNum>
  <w:abstractNum w:abstractNumId="70">
    <w:nsid w:val="53B0A9E"/>
    <w:multiLevelType w:val="hybridMultilevel"/>
    <w:lvl w:ilvl="0">
      <w:lvlJc w:val="left"/>
      <w:lvlText w:val="·"/>
      <w:numFmt w:val="bullet"/>
      <w:start w:val="1"/>
    </w:lvl>
  </w:abstractNum>
  <w:abstractNum w:abstractNumId="71">
    <w:nsid w:val="34FD6B4F"/>
    <w:multiLevelType w:val="hybridMultilevel"/>
    <w:lvl w:ilvl="0">
      <w:lvlJc w:val="left"/>
      <w:lvlText w:val="·"/>
      <w:numFmt w:val="bullet"/>
      <w:start w:val="1"/>
    </w:lvl>
  </w:abstractNum>
  <w:abstractNum w:abstractNumId="72">
    <w:nsid w:val="5915FF32"/>
    <w:multiLevelType w:val="hybridMultilevel"/>
    <w:lvl w:ilvl="0">
      <w:lvlJc w:val="left"/>
      <w:lvlText w:val="·"/>
      <w:numFmt w:val="bullet"/>
      <w:start w:val="1"/>
    </w:lvl>
  </w:abstractNum>
  <w:abstractNum w:abstractNumId="73">
    <w:nsid w:val="56438D15"/>
    <w:multiLevelType w:val="hybridMultilevel"/>
    <w:lvl w:ilvl="0">
      <w:lvlJc w:val="left"/>
      <w:lvlText w:val="%1."/>
      <w:numFmt w:val="upperLetter"/>
      <w:start w:val="2"/>
    </w:lvl>
  </w:abstractNum>
  <w:abstractNum w:abstractNumId="74">
    <w:nsid w:val="519E3149"/>
    <w:multiLevelType w:val="hybridMultilevel"/>
    <w:lvl w:ilvl="0">
      <w:lvlJc w:val="left"/>
      <w:lvlText w:val="·"/>
      <w:numFmt w:val="bullet"/>
      <w:start w:val="1"/>
    </w:lvl>
  </w:abstractNum>
  <w:abstractNum w:abstractNumId="75">
    <w:nsid w:val="2C6E4AFD"/>
    <w:multiLevelType w:val="hybridMultilevel"/>
    <w:lvl w:ilvl="0">
      <w:lvlJc w:val="left"/>
      <w:lvlText w:val="*"/>
      <w:numFmt w:val="bullet"/>
      <w:start w:val="1"/>
    </w:lvl>
  </w:abstractNum>
  <w:abstractNum w:abstractNumId="76">
    <w:nsid w:val="17A1B582"/>
    <w:multiLevelType w:val="hybridMultilevel"/>
    <w:lvl w:ilvl="0">
      <w:lvlJc w:val="left"/>
      <w:lvlText w:val="*"/>
      <w:numFmt w:val="bullet"/>
      <w:start w:val="1"/>
    </w:lvl>
  </w:abstractNum>
  <w:abstractNum w:abstractNumId="77">
    <w:nsid w:val="4DF72E4E"/>
    <w:multiLevelType w:val="hybridMultilevel"/>
    <w:lvl w:ilvl="0">
      <w:lvlJc w:val="left"/>
      <w:lvlText w:val="*"/>
      <w:numFmt w:val="bullet"/>
      <w:start w:val="1"/>
    </w:lvl>
  </w:abstractNum>
  <w:abstractNum w:abstractNumId="78">
    <w:nsid w:val="5046B5A9"/>
    <w:multiLevelType w:val="hybridMultilevel"/>
    <w:lvl w:ilvl="0">
      <w:lvlJc w:val="left"/>
      <w:lvlText w:val="\endash "/>
      <w:numFmt w:val="bullet"/>
      <w:start w:val="1"/>
    </w:lvl>
  </w:abstractNum>
  <w:abstractNum w:abstractNumId="79">
    <w:nsid w:val="5D888A08"/>
    <w:multiLevelType w:val="hybridMultilevel"/>
    <w:lvl w:ilvl="0">
      <w:lvlJc w:val="left"/>
      <w:lvlText w:val="·"/>
      <w:numFmt w:val="bullet"/>
      <w:start w:val="1"/>
    </w:lvl>
  </w:abstractNum>
  <w:abstractNum w:abstractNumId="80">
    <w:nsid w:val="2A082C70"/>
    <w:multiLevelType w:val="hybridMultilevel"/>
    <w:lvl w:ilvl="0">
      <w:lvlJc w:val="left"/>
      <w:lvlText w:val="·"/>
      <w:numFmt w:val="bullet"/>
      <w:start w:val="1"/>
    </w:lvl>
  </w:abstractNum>
  <w:abstractNum w:abstractNumId="81">
    <w:nsid w:val="5EC6AFD4"/>
    <w:multiLevelType w:val="hybridMultilevel"/>
    <w:lvl w:ilvl="0">
      <w:lvlJc w:val="left"/>
      <w:lvlText w:val="·"/>
      <w:numFmt w:val="bullet"/>
      <w:start w:val="1"/>
    </w:lvl>
  </w:abstractNum>
  <w:abstractNum w:abstractNumId="82">
    <w:nsid w:val="19E21BB2"/>
    <w:multiLevelType w:val="hybridMultilevel"/>
    <w:lvl w:ilvl="0">
      <w:lvlJc w:val="left"/>
      <w:lvlText w:val="%1."/>
      <w:numFmt w:val="upperLetter"/>
      <w:start w:val="3"/>
    </w:lvl>
  </w:abstractNum>
  <w:abstractNum w:abstractNumId="83">
    <w:nsid w:val="75E0858A"/>
    <w:multiLevelType w:val="hybridMultilevel"/>
    <w:lvl w:ilvl="0">
      <w:lvlJc w:val="left"/>
      <w:lvlText w:val="%1."/>
      <w:numFmt w:val="upperLetter"/>
      <w:start w:val="5"/>
    </w:lvl>
  </w:abstractNum>
  <w:abstractNum w:abstractNumId="84">
    <w:nsid w:val="57A61A29"/>
    <w:multiLevelType w:val="hybridMultilevel"/>
    <w:lvl w:ilvl="0">
      <w:lvlJc w:val="left"/>
      <w:lvlText w:val="·"/>
      <w:numFmt w:val="bullet"/>
      <w:start w:val="1"/>
    </w:lvl>
  </w:abstractNum>
  <w:abstractNum w:abstractNumId="85">
    <w:nsid w:val="5399C654"/>
    <w:multiLevelType w:val="hybridMultilevel"/>
    <w:lvl w:ilvl="0">
      <w:lvlJc w:val="left"/>
      <w:lvlText w:val="·"/>
      <w:numFmt w:val="bullet"/>
      <w:start w:val="1"/>
    </w:lvl>
  </w:abstractNum>
  <w:abstractNum w:abstractNumId="86">
    <w:nsid w:val="20EE1348"/>
    <w:multiLevelType w:val="hybridMultilevel"/>
    <w:lvl w:ilvl="0">
      <w:lvlJc w:val="left"/>
      <w:lvlText w:val="%1."/>
      <w:numFmt w:val="upperLetter"/>
      <w:start w:val="1"/>
    </w:lvl>
  </w:abstractNum>
  <w:abstractNum w:abstractNumId="87">
    <w:nsid w:val="4427069A"/>
    <w:multiLevelType w:val="hybridMultilevel"/>
    <w:lvl w:ilvl="0">
      <w:lvlJc w:val="left"/>
      <w:lvlText w:val="%1."/>
      <w:numFmt w:val="upperLetter"/>
      <w:start w:val="2"/>
    </w:lvl>
  </w:abstractNum>
  <w:abstractNum w:abstractNumId="88">
    <w:nsid w:val="B37E80A"/>
    <w:multiLevelType w:val="hybridMultilevel"/>
    <w:lvl w:ilvl="0">
      <w:lvlJc w:val="left"/>
      <w:lvlText w:val="%1."/>
      <w:numFmt w:val="upperLetter"/>
      <w:start w:val="3"/>
    </w:lvl>
  </w:abstractNum>
  <w:abstractNum w:abstractNumId="89">
    <w:nsid w:val="2157F6BC"/>
    <w:multiLevelType w:val="hybridMultilevel"/>
    <w:lvl w:ilvl="0">
      <w:lvlJc w:val="left"/>
      <w:lvlText w:val="%1."/>
      <w:numFmt w:val="upperLetter"/>
      <w:start w:val="4"/>
    </w:lvl>
  </w:abstractNum>
  <w:abstractNum w:abstractNumId="90">
    <w:nsid w:val="704E1DD5"/>
    <w:multiLevelType w:val="hybridMultilevel"/>
    <w:lvl w:ilvl="0">
      <w:lvlJc w:val="left"/>
      <w:lvlText w:val="%1."/>
      <w:numFmt w:val="upperLetter"/>
      <w:start w:val="1"/>
    </w:lvl>
  </w:abstractNum>
  <w:abstractNum w:abstractNumId="91">
    <w:nsid w:val="57D2F10E"/>
    <w:multiLevelType w:val="hybridMultilevel"/>
    <w:lvl w:ilvl="0">
      <w:lvlJc w:val="left"/>
      <w:lvlText w:val="(%1)"/>
      <w:numFmt w:val="decimal"/>
      <w:start w:val="1"/>
    </w:lvl>
  </w:abstractNum>
  <w:abstractNum w:abstractNumId="92">
    <w:nsid w:val="BFFAE18"/>
    <w:multiLevelType w:val="hybridMultilevel"/>
    <w:lvl w:ilvl="0">
      <w:lvlJc w:val="left"/>
      <w:lvlText w:val="%1."/>
      <w:numFmt w:val="upperLetter"/>
      <w:start w:val="2"/>
    </w:lvl>
  </w:abstractNum>
  <w:abstractNum w:abstractNumId="93">
    <w:nsid w:val="E3E47A8"/>
    <w:multiLevelType w:val="hybridMultilevel"/>
    <w:lvl w:ilvl="0">
      <w:lvlJc w:val="left"/>
      <w:lvlText w:val="·"/>
      <w:numFmt w:val="bullet"/>
      <w:start w:val="1"/>
    </w:lvl>
  </w:abstractNum>
  <w:abstractNum w:abstractNumId="94">
    <w:nsid w:val="2E48F044"/>
    <w:multiLevelType w:val="hybridMultilevel"/>
    <w:lvl w:ilvl="0">
      <w:lvlJc w:val="left"/>
      <w:lvlText w:val="·"/>
      <w:numFmt w:val="bullet"/>
      <w:start w:val="1"/>
    </w:lvl>
  </w:abstractNum>
  <w:abstractNum w:abstractNumId="95">
    <w:nsid w:val="49D0FEAC"/>
    <w:multiLevelType w:val="hybridMultilevel"/>
    <w:lvl w:ilvl="0">
      <w:lvlJc w:val="left"/>
      <w:lvlText w:val="·"/>
      <w:numFmt w:val="bullet"/>
      <w:start w:val="1"/>
    </w:lvl>
  </w:abstractNum>
  <w:abstractNum w:abstractNumId="96">
    <w:nsid w:val="4BEE5A5B"/>
    <w:multiLevelType w:val="hybridMultilevel"/>
    <w:lvl w:ilvl="0">
      <w:lvlJc w:val="left"/>
      <w:lvlText w:val="%1."/>
      <w:numFmt w:val="upperLetter"/>
      <w:start w:val="3"/>
    </w:lvl>
  </w:abstractNum>
  <w:abstractNum w:abstractNumId="97">
    <w:nsid w:val="5551B9F3"/>
    <w:multiLevelType w:val="hybridMultilevel"/>
    <w:lvl w:ilvl="0">
      <w:lvlJc w:val="left"/>
      <w:lvlText w:val="%1."/>
      <w:numFmt w:val="upperLetter"/>
      <w:start w:val="1"/>
    </w:lvl>
  </w:abstractNum>
  <w:abstractNum w:abstractNumId="98">
    <w:nsid w:val="24F6AB8E"/>
    <w:multiLevelType w:val="hybridMultilevel"/>
    <w:lvl w:ilvl="0">
      <w:lvlJc w:val="left"/>
      <w:lvlText w:val="%1."/>
      <w:numFmt w:val="upperLetter"/>
      <w:start w:val="2"/>
    </w:lvl>
  </w:abstractNum>
  <w:abstractNum w:abstractNumId="99">
    <w:nsid w:val="634C574C"/>
    <w:multiLevelType w:val="hybridMultilevel"/>
    <w:lvl w:ilvl="0">
      <w:lvlJc w:val="left"/>
      <w:lvlText w:val="%1."/>
      <w:numFmt w:val="upperLetter"/>
      <w:start w:val="1"/>
    </w:lvl>
  </w:abstractNum>
  <w:abstractNum w:abstractNumId="100">
    <w:nsid w:val="24E99DD7"/>
    <w:multiLevelType w:val="hybridMultilevel"/>
    <w:lvl w:ilvl="0">
      <w:lvlJc w:val="left"/>
      <w:lvlText w:val="%1."/>
      <w:numFmt w:val="upperLetter"/>
      <w:start w:val="3"/>
    </w:lvl>
  </w:abstractNum>
  <w:abstractNum w:abstractNumId="101">
    <w:nsid w:val="2A31B62D"/>
    <w:multiLevelType w:val="hybridMultilevel"/>
    <w:lvl w:ilvl="0">
      <w:lvlJc w:val="left"/>
      <w:lvlText w:val="%1."/>
      <w:numFmt w:val="upperLetter"/>
      <w:start w:val="4"/>
    </w:lvl>
  </w:abstractNum>
  <w:abstractNum w:abstractNumId="102">
    <w:nsid w:val="1849C29B"/>
    <w:multiLevelType w:val="hybridMultilevel"/>
    <w:lvl w:ilvl="0">
      <w:lvlJc w:val="left"/>
      <w:lvlText w:val="%1."/>
      <w:numFmt w:val="upperLetter"/>
      <w:start w:val="5"/>
    </w:lvl>
  </w:abstractNum>
  <w:abstractNum w:abstractNumId="103">
    <w:nsid w:val="7DFF9D09"/>
    <w:multiLevelType w:val="hybridMultilevel"/>
    <w:lvl w:ilvl="0">
      <w:lvlJc w:val="left"/>
      <w:lvlText w:val="·"/>
      <w:numFmt w:val="bullet"/>
      <w:start w:val="1"/>
    </w:lvl>
  </w:abstractNum>
  <w:abstractNum w:abstractNumId="104">
    <w:nsid w:val="754342"/>
    <w:multiLevelType w:val="hybridMultilevel"/>
    <w:lvl w:ilvl="0">
      <w:lvlJc w:val="left"/>
      <w:lvlText w:val="·"/>
      <w:numFmt w:val="bullet"/>
      <w:start w:val="1"/>
    </w:lvl>
  </w:abstractNum>
  <w:abstractNum w:abstractNumId="105">
    <w:nsid w:val="69E7F3E5"/>
    <w:multiLevelType w:val="hybridMultilevel"/>
    <w:lvl w:ilvl="0">
      <w:lvlJc w:val="left"/>
      <w:lvlText w:val="·"/>
      <w:numFmt w:val="bullet"/>
      <w:start w:val="1"/>
    </w:lvl>
  </w:abstractNum>
  <w:abstractNum w:abstractNumId="106">
    <w:nsid w:val="2A6DE806"/>
    <w:multiLevelType w:val="hybridMultilevel"/>
    <w:lvl w:ilvl="0">
      <w:lvlJc w:val="left"/>
      <w:lvlText w:val="·"/>
      <w:numFmt w:val="bullet"/>
      <w:start w:val="1"/>
    </w:lvl>
  </w:abstractNum>
  <w:abstractNum w:abstractNumId="107">
    <w:nsid w:val="1816F8C4"/>
    <w:multiLevelType w:val="hybridMultilevel"/>
    <w:lvl w:ilvl="0">
      <w:lvlJc w:val="left"/>
      <w:lvlText w:val="·"/>
      <w:numFmt w:val="bullet"/>
      <w:start w:val="1"/>
    </w:lvl>
  </w:abstractNum>
  <w:abstractNum w:abstractNumId="108">
    <w:nsid w:val="37DF2233"/>
    <w:multiLevelType w:val="hybridMultilevel"/>
    <w:lvl w:ilvl="0">
      <w:lvlJc w:val="left"/>
      <w:lvlText w:val="·"/>
      <w:numFmt w:val="bullet"/>
      <w:start w:val="1"/>
    </w:lvl>
  </w:abstractNum>
  <w:abstractNum w:abstractNumId="109">
    <w:nsid w:val="7AB49DAF"/>
    <w:multiLevelType w:val="hybridMultilevel"/>
    <w:lvl w:ilvl="0">
      <w:lvlJc w:val="left"/>
      <w:lvlText w:val="·"/>
      <w:numFmt w:val="bullet"/>
      <w:start w:val="1"/>
    </w:lvl>
  </w:abstractNum>
  <w:abstractNum w:abstractNumId="110">
    <w:nsid w:val="759F82CD"/>
    <w:multiLevelType w:val="hybridMultilevel"/>
    <w:lvl w:ilvl="0">
      <w:lvlJc w:val="left"/>
      <w:lvlText w:val="%1."/>
      <w:numFmt w:val="upperLetter"/>
      <w:start w:val="6"/>
    </w:lvl>
  </w:abstractNum>
  <w:abstractNum w:abstractNumId="111">
    <w:nsid w:val="61E74EA3"/>
    <w:multiLevelType w:val="hybridMultilevel"/>
    <w:lvl w:ilvl="0">
      <w:lvlJc w:val="left"/>
      <w:lvlText w:val="%1."/>
      <w:numFmt w:val="upperLetter"/>
      <w:start w:val="9"/>
    </w:lvl>
  </w:abstractNum>
  <w:abstractNum w:abstractNumId="112">
    <w:nsid w:val="597B4D84"/>
    <w:multiLevelType w:val="hybridMultilevel"/>
    <w:lvl w:ilvl="0">
      <w:lvlJc w:val="left"/>
      <w:lvlText w:val="%1."/>
      <w:numFmt w:val="upperLetter"/>
      <w:start w:val="1"/>
    </w:lvl>
  </w:abstractNum>
  <w:abstractNum w:abstractNumId="113">
    <w:nsid w:val="F819E7F"/>
    <w:multiLevelType w:val="hybridMultilevel"/>
    <w:lvl w:ilvl="0">
      <w:lvlJc w:val="left"/>
      <w:lvlText w:val="%1."/>
      <w:numFmt w:val="upperLetter"/>
      <w:start w:val="2"/>
    </w:lvl>
  </w:abstractNum>
  <w:abstractNum w:abstractNumId="114">
    <w:nsid w:val="57C7D42D"/>
    <w:multiLevelType w:val="hybridMultilevel"/>
    <w:lvl w:ilvl="0">
      <w:lvlJc w:val="left"/>
      <w:lvlText w:val="%1."/>
      <w:numFmt w:val="upperLetter"/>
      <w:start w:val="3"/>
    </w:lvl>
  </w:abstractNum>
  <w:abstractNum w:abstractNumId="115">
    <w:nsid w:val="312167AD"/>
    <w:multiLevelType w:val="hybridMultilevel"/>
    <w:lvl w:ilvl="0">
      <w:lvlJc w:val="left"/>
      <w:lvlText w:val="%1."/>
      <w:numFmt w:val="upperLetter"/>
      <w:start w:val="4"/>
    </w:lvl>
  </w:abstractNum>
  <w:abstractNum w:abstractNumId="116">
    <w:nsid w:val="631B64D4"/>
    <w:multiLevelType w:val="hybridMultilevel"/>
    <w:lvl w:ilvl="0">
      <w:lvlJc w:val="left"/>
      <w:lvlText w:val="%1."/>
      <w:numFmt w:val="upperLetter"/>
      <w:start w:val="1"/>
    </w:lvl>
  </w:abstractNum>
  <w:abstractNum w:abstractNumId="117">
    <w:nsid w:val="78B5E776"/>
    <w:multiLevelType w:val="hybridMultilevel"/>
    <w:lvl w:ilvl="0">
      <w:lvlJc w:val="left"/>
      <w:lvlText w:val="%1."/>
      <w:numFmt w:val="upperLetter"/>
      <w:start w:val="2"/>
    </w:lvl>
  </w:abstractNum>
  <w:abstractNum w:abstractNumId="118">
    <w:nsid w:val="75486E47"/>
    <w:multiLevelType w:val="hybridMultilevel"/>
    <w:lvl w:ilvl="0">
      <w:lvlJc w:val="left"/>
      <w:lvlText w:val="%1."/>
      <w:numFmt w:val="upperLetter"/>
      <w:start w:val="3"/>
    </w:lvl>
  </w:abstractNum>
  <w:abstractNum w:abstractNumId="119">
    <w:nsid w:val="6E534CDE"/>
    <w:multiLevelType w:val="hybridMultilevel"/>
    <w:lvl w:ilvl="0">
      <w:lvlJc w:val="left"/>
      <w:lvlText w:val="(%1)"/>
      <w:numFmt w:val="decimal"/>
      <w:start w:val="1"/>
    </w:lvl>
  </w:abstractNum>
  <w:abstractNum w:abstractNumId="120">
    <w:nsid w:val="1A0DDE32"/>
    <w:multiLevelType w:val="hybridMultilevel"/>
    <w:lvl w:ilvl="0">
      <w:lvlJc w:val="left"/>
      <w:lvlText w:val="%1."/>
      <w:numFmt w:val="upperLetter"/>
      <w:start w:val="4"/>
    </w:lvl>
  </w:abstractNum>
  <w:abstractNum w:abstractNumId="121">
    <w:nsid w:val="65968C1C"/>
    <w:multiLevelType w:val="hybridMultilevel"/>
    <w:lvl w:ilvl="0">
      <w:lvlJc w:val="left"/>
      <w:lvlText w:val="%1."/>
      <w:numFmt w:val="upperLetter"/>
      <w:start w:val="6"/>
    </w:lvl>
  </w:abstractNum>
  <w:abstractNum w:abstractNumId="122">
    <w:nsid w:val="46263DEC"/>
    <w:multiLevelType w:val="hybridMultilevel"/>
    <w:lvl w:ilvl="0">
      <w:lvlJc w:val="left"/>
      <w:lvlText w:val="·"/>
      <w:numFmt w:val="bullet"/>
      <w:start w:val="1"/>
    </w:lvl>
  </w:abstractNum>
  <w:abstractNum w:abstractNumId="123">
    <w:nsid w:val="260D8C4A"/>
    <w:multiLevelType w:val="hybridMultilevel"/>
    <w:lvl w:ilvl="0">
      <w:lvlJc w:val="left"/>
      <w:lvlText w:val="%1."/>
      <w:numFmt w:val="upperLetter"/>
      <w:start w:val="8"/>
    </w:lvl>
  </w:abstractNum>
  <w:abstractNum w:abstractNumId="124">
    <w:nsid w:val="73D4D3C4"/>
    <w:multiLevelType w:val="hybridMultilevel"/>
    <w:lvl w:ilvl="0">
      <w:lvlJc w:val="left"/>
      <w:lvlText w:val="%1."/>
      <w:numFmt w:val="upperLetter"/>
      <w:start w:val="11"/>
    </w:lvl>
  </w:abstractNum>
  <w:abstractNum w:abstractNumId="125">
    <w:nsid w:val="746F2E30"/>
    <w:multiLevelType w:val="hybridMultilevel"/>
    <w:lvl w:ilvl="0">
      <w:lvlJc w:val="left"/>
      <w:lvlText w:val="·"/>
      <w:numFmt w:val="bullet"/>
      <w:start w:val="1"/>
    </w:lvl>
  </w:abstractNum>
  <w:abstractNum w:abstractNumId="126">
    <w:nsid w:val="6FDE8AF6"/>
    <w:multiLevelType w:val="hybridMultilevel"/>
    <w:lvl w:ilvl="0">
      <w:lvlJc w:val="left"/>
      <w:lvlText w:val="%1"/>
      <w:numFmt w:val="decimal"/>
      <w:start w:val="1"/>
    </w:lvl>
    <w:lvl w:ilvl="1">
      <w:lvlJc w:val="left"/>
      <w:lvlText w:val="%2"/>
      <w:numFmt w:val="decimal"/>
      <w:start w:val="104"/>
    </w:lvl>
  </w:abstractNum>
  <w:abstractNum w:abstractNumId="127">
    <w:nsid w:val="3FC32E20"/>
    <w:multiLevelType w:val="hybridMultilevel"/>
    <w:lvl w:ilvl="0">
      <w:lvlJc w:val="left"/>
      <w:lvlText w:val="(%1)"/>
      <w:numFmt w:val="decimal"/>
      <w:start w:val="1"/>
    </w:lvl>
    <w:lvl w:ilvl="1">
      <w:lvlJc w:val="left"/>
      <w:lvlText w:val="%2"/>
      <w:numFmt w:val="decimal"/>
      <w:start w:val="1"/>
    </w:lvl>
  </w:abstractNum>
  <w:abstractNum w:abstractNumId="128">
    <w:nsid w:val="49C0E823"/>
    <w:multiLevelType w:val="hybridMultilevel"/>
    <w:lvl w:ilvl="0">
      <w:lvlJc w:val="left"/>
      <w:lvlText w:val="*"/>
      <w:numFmt w:val="bullet"/>
      <w:start w:val="1"/>
    </w:lvl>
  </w:abstractNum>
  <w:abstractNum w:abstractNumId="129">
    <w:nsid w:val="14D53685"/>
    <w:multiLevelType w:val="hybridMultilevel"/>
    <w:lvl w:ilvl="0">
      <w:lvlJc w:val="left"/>
      <w:lvlText w:val="(%1)"/>
      <w:numFmt w:val="lowerRoman"/>
      <w:start w:val="1"/>
    </w:lvl>
  </w:abstractNum>
  <w:abstractNum w:abstractNumId="130">
    <w:nsid w:val="230F856C"/>
    <w:multiLevelType w:val="hybridMultilevel"/>
    <w:lvl w:ilvl="0">
      <w:lvlJc w:val="left"/>
      <w:lvlText w:val="(%1)"/>
      <w:numFmt w:val="decimal"/>
      <w:start w:val="1"/>
    </w:lvl>
  </w:abstractNum>
  <w:abstractNum w:abstractNumId="131">
    <w:nsid w:val="6EAA85FB"/>
    <w:multiLevelType w:val="hybridMultilevel"/>
    <w:lvl w:ilvl="0">
      <w:lvlJc w:val="left"/>
      <w:lvlText w:val="(%1)"/>
      <w:numFmt w:val="lowerLetter"/>
      <w:start w:val="1"/>
    </w:lvl>
  </w:abstractNum>
  <w:abstractNum w:abstractNumId="132">
    <w:nsid w:val="3F06ECB2"/>
    <w:multiLevelType w:val="hybridMultilevel"/>
    <w:lvl w:ilvl="0">
      <w:lvlJc w:val="left"/>
      <w:lvlText w:val="(%1)"/>
      <w:numFmt w:val="lowerLetter"/>
      <w:start w:val="4"/>
    </w:lvl>
  </w:abstractNum>
  <w:abstractNum w:abstractNumId="133">
    <w:nsid w:val="3B594807"/>
    <w:multiLevelType w:val="hybridMultilevel"/>
    <w:lvl w:ilvl="0">
      <w:lvlJc w:val="left"/>
      <w:lvlText w:val="(%1)"/>
      <w:numFmt w:val="lowerLetter"/>
      <w:start w:val="10"/>
    </w:lvl>
  </w:abstractNum>
  <w:abstractNum w:abstractNumId="134">
    <w:nsid w:val="6CAA2304"/>
    <w:multiLevelType w:val="hybridMultilevel"/>
    <w:lvl w:ilvl="0">
      <w:lvlJc w:val="left"/>
      <w:lvlText w:val="(%1)"/>
      <w:numFmt w:val="lowerLetter"/>
      <w:start w:val="12"/>
    </w:lvl>
  </w:abstractNum>
  <w:abstractNum w:abstractNumId="135">
    <w:nsid w:val="3F7C2FF4"/>
    <w:multiLevelType w:val="hybridMultilevel"/>
    <w:lvl w:ilvl="0">
      <w:lvlJc w:val="left"/>
      <w:lvlText w:val="(%1)"/>
      <w:numFmt w:val="lowerRoman"/>
      <w:start w:val="1"/>
    </w:lvl>
  </w:abstractNum>
  <w:abstractNum w:abstractNumId="136">
    <w:nsid w:val="25413BEC"/>
    <w:multiLevelType w:val="hybridMultilevel"/>
    <w:lvl w:ilvl="0">
      <w:lvlJc w:val="left"/>
      <w:lvlText w:val="(%1)"/>
      <w:numFmt w:val="lowerLetter"/>
      <w:start w:val="18"/>
    </w:lvl>
  </w:abstractNum>
  <w:abstractNum w:abstractNumId="137">
    <w:nsid w:val="17180B0B"/>
    <w:multiLevelType w:val="hybridMultilevel"/>
    <w:lvl w:ilvl="0">
      <w:lvlJc w:val="left"/>
      <w:lvlText w:val="(%1)"/>
      <w:numFmt w:val="lowerLetter"/>
      <w:start w:val="22"/>
    </w:lvl>
  </w:abstractNum>
  <w:abstractNum w:abstractNumId="138">
    <w:nsid w:val="579328B9"/>
    <w:multiLevelType w:val="hybridMultilevel"/>
    <w:lvl w:ilvl="0">
      <w:lvlJc w:val="left"/>
      <w:lvlText w:val="(%1)"/>
      <w:numFmt w:val="lowerRoman"/>
      <w:start w:val="1"/>
    </w:lvl>
  </w:abstractNum>
  <w:abstractNum w:abstractNumId="139">
    <w:nsid w:val="5D205E20"/>
    <w:multiLevelType w:val="hybridMultilevel"/>
    <w:lvl w:ilvl="0">
      <w:lvlJc w:val="left"/>
      <w:lvlText w:val="%1."/>
      <w:numFmt w:val="decimal"/>
      <w:start w:val="1"/>
    </w:lvl>
  </w:abstractNum>
  <w:abstractNum w:abstractNumId="140">
    <w:nsid w:val="11CCA8BA"/>
    <w:multiLevelType w:val="hybridMultilevel"/>
    <w:lvl w:ilvl="0">
      <w:lvlJc w:val="left"/>
      <w:lvlText w:val="(%1)"/>
      <w:numFmt w:val="lowerRoman"/>
      <w:start w:val="2"/>
    </w:lvl>
  </w:abstractNum>
  <w:abstractNum w:abstractNumId="141">
    <w:nsid w:val="4D32AB86"/>
    <w:multiLevelType w:val="hybridMultilevel"/>
    <w:lvl w:ilvl="0">
      <w:lvlJc w:val="left"/>
      <w:lvlText w:val="%1."/>
      <w:numFmt w:val="decimal"/>
      <w:start w:val="1"/>
    </w:lvl>
  </w:abstractNum>
  <w:abstractNum w:abstractNumId="142">
    <w:nsid w:val="3F07ACC3"/>
    <w:multiLevelType w:val="hybridMultilevel"/>
    <w:lvl w:ilvl="0">
      <w:lvlJc w:val="left"/>
      <w:lvlText w:val="(%1)"/>
      <w:numFmt w:val="lowerLetter"/>
      <w:start w:val="1"/>
    </w:lvl>
  </w:abstractNum>
  <w:abstractNum w:abstractNumId="143">
    <w:nsid w:val="6B47F63E"/>
    <w:multiLevelType w:val="hybridMultilevel"/>
    <w:lvl w:ilvl="0">
      <w:lvlJc w:val="left"/>
      <w:lvlText w:val="%1."/>
      <w:numFmt w:val="decimal"/>
      <w:start w:val="6"/>
    </w:lvl>
  </w:abstractNum>
  <w:abstractNum w:abstractNumId="144">
    <w:nsid w:val="5CB44A05"/>
    <w:multiLevelType w:val="hybridMultilevel"/>
    <w:lvl w:ilvl="0">
      <w:lvlJc w:val="left"/>
      <w:lvlText w:val="%1."/>
      <w:numFmt w:val="decimal"/>
      <w:start w:val="8"/>
    </w:lvl>
  </w:abstractNum>
  <w:abstractNum w:abstractNumId="145">
    <w:nsid w:val="16CF80F1"/>
    <w:multiLevelType w:val="hybridMultilevel"/>
    <w:lvl w:ilvl="0">
      <w:lvlJc w:val="left"/>
      <w:lvlText w:val="·"/>
      <w:numFmt w:val="bullet"/>
      <w:start w:val="1"/>
    </w:lvl>
  </w:abstractNum>
  <w:abstractNum w:abstractNumId="146">
    <w:nsid w:val="1C695DEC"/>
    <w:multiLevelType w:val="hybridMultilevel"/>
    <w:lvl w:ilvl="0">
      <w:lvlJc w:val="left"/>
      <w:lvlText w:val="%1."/>
      <w:numFmt w:val="decimal"/>
      <w:start w:val="17"/>
    </w:lvl>
  </w:abstractNum>
  <w:abstractNum w:abstractNumId="147">
    <w:nsid w:val="3FCFAED9"/>
    <w:multiLevelType w:val="hybridMultilevel"/>
    <w:lvl w:ilvl="0">
      <w:lvlJc w:val="left"/>
      <w:lvlText w:val="•"/>
      <w:numFmt w:val="bullet"/>
      <w:start w:val="1"/>
    </w:lvl>
  </w:abstractNum>
  <w:abstractNum w:abstractNumId="148">
    <w:nsid w:val="F856867"/>
    <w:multiLevelType w:val="hybridMultilevel"/>
    <w:lvl w:ilvl="0">
      <w:lvlJc w:val="left"/>
      <w:lvlText w:val="(%1)"/>
      <w:numFmt w:val="upperLetter"/>
      <w:start w:val="1"/>
    </w:lvl>
  </w:abstractNum>
  <w:abstractNum w:abstractNumId="149">
    <w:nsid w:val="11B1CC33"/>
    <w:multiLevelType w:val="hybridMultilevel"/>
    <w:lvl w:ilvl="0">
      <w:lvlJc w:val="left"/>
      <w:lvlText w:val="(%1)"/>
      <w:numFmt w:val="upperLetter"/>
      <w:start w:val="2"/>
    </w:lvl>
  </w:abstractNum>
  <w:abstractNum w:abstractNumId="150">
    <w:nsid w:val="2E22FBB7"/>
    <w:multiLevelType w:val="hybridMultilevel"/>
    <w:lvl w:ilvl="0">
      <w:lvlJc w:val="left"/>
      <w:lvlText w:val="(%1)"/>
      <w:numFmt w:val="upperLetter"/>
      <w:start w:val="3"/>
    </w:lvl>
  </w:abstractNum>
  <w:abstractNum w:abstractNumId="151">
    <w:nsid w:val="29934699"/>
    <w:multiLevelType w:val="hybridMultilevel"/>
    <w:lvl w:ilvl="0">
      <w:lvlJc w:val="left"/>
      <w:lvlText w:val="(%1)"/>
      <w:numFmt w:val="upperLetter"/>
      <w:start w:val="1"/>
    </w:lvl>
  </w:abstractNum>
  <w:abstractNum w:abstractNumId="152">
    <w:nsid w:val="77485850"/>
    <w:multiLevelType w:val="hybridMultilevel"/>
    <w:lvl w:ilvl="0">
      <w:lvlJc w:val="left"/>
      <w:lvlText w:val="•"/>
      <w:numFmt w:val="bullet"/>
      <w:start w:val="1"/>
    </w:lvl>
  </w:abstractNum>
  <w:abstractNum w:abstractNumId="153">
    <w:nsid w:val="744939A3"/>
    <w:multiLevelType w:val="hybridMultilevel"/>
    <w:lvl w:ilvl="0">
      <w:lvlJc w:val="left"/>
      <w:lvlText w:val="(%1)"/>
      <w:numFmt w:val="upperLetter"/>
      <w:start w:val="5"/>
    </w:lvl>
  </w:abstractNum>
  <w:abstractNum w:abstractNumId="154">
    <w:nsid w:val="4FA0D2E3"/>
    <w:multiLevelType w:val="hybridMultilevel"/>
    <w:lvl w:ilvl="0">
      <w:lvlJc w:val="left"/>
      <w:lvlText w:val="(%1)"/>
      <w:numFmt w:val="lowerRoman"/>
      <w:start w:val="2"/>
    </w:lvl>
  </w:abstractNum>
  <w:abstractNum w:abstractNumId="155">
    <w:nsid w:val="6B1D2C14"/>
    <w:multiLevelType w:val="hybridMultilevel"/>
    <w:lvl w:ilvl="0">
      <w:lvlJc w:val="left"/>
      <w:lvlText w:val="•"/>
      <w:numFmt w:val="bullet"/>
      <w:start w:val="1"/>
    </w:lvl>
  </w:abstractNum>
  <w:abstractNum w:abstractNumId="156">
    <w:nsid w:val="68B867D3"/>
    <w:multiLevelType w:val="hybridMultilevel"/>
    <w:lvl w:ilvl="0">
      <w:lvlJc w:val="left"/>
      <w:lvlText w:val="(%1)"/>
      <w:numFmt w:val="lowerRoman"/>
      <w:start w:val="1"/>
    </w:lvl>
  </w:abstractNum>
  <w:abstractNum w:abstractNumId="157">
    <w:nsid w:val="3F7F5DD9"/>
    <w:multiLevelType w:val="hybridMultilevel"/>
    <w:lvl w:ilvl="0">
      <w:lvlJc w:val="left"/>
      <w:lvlText w:val="•"/>
      <w:numFmt w:val="bullet"/>
      <w:start w:val="1"/>
    </w:lvl>
  </w:abstractNum>
  <w:abstractNum w:abstractNumId="158">
    <w:nsid w:val="2AE05A34"/>
    <w:multiLevelType w:val="hybridMultilevel"/>
    <w:lvl w:ilvl="0">
      <w:lvlJc w:val="left"/>
      <w:lvlText w:val="%1."/>
      <w:numFmt w:val="upperLetter"/>
      <w:start w:val="1"/>
    </w:lvl>
  </w:abstractNum>
  <w:abstractNum w:abstractNumId="159">
    <w:nsid w:val="32794FF7"/>
    <w:multiLevelType w:val="hybridMultilevel"/>
    <w:lvl w:ilvl="0">
      <w:lvlJc w:val="left"/>
      <w:lvlText w:val="(%1)"/>
      <w:numFmt w:val="lowerRoman"/>
      <w:start w:val="1"/>
    </w:lvl>
  </w:abstractNum>
  <w:abstractNum w:abstractNumId="160">
    <w:nsid w:val="5454945E"/>
    <w:multiLevelType w:val="hybridMultilevel"/>
    <w:lvl w:ilvl="0">
      <w:lvlJc w:val="left"/>
      <w:lvlText w:val="(%1)"/>
      <w:numFmt w:val="lowerRoman"/>
      <w:start w:val="2"/>
    </w:lvl>
  </w:abstractNum>
  <w:abstractNum w:abstractNumId="161">
    <w:nsid w:val="4DEFDFA0"/>
    <w:multiLevelType w:val="hybridMultilevel"/>
    <w:lvl w:ilvl="0">
      <w:lvlJc w:val="left"/>
      <w:lvlText w:val="(%1)"/>
      <w:numFmt w:val="lowerRoman"/>
      <w:start w:val="1"/>
    </w:lvl>
  </w:abstractNum>
  <w:abstractNum w:abstractNumId="162">
    <w:nsid w:val="2123D5F2"/>
    <w:multiLevelType w:val="hybridMultilevel"/>
    <w:lvl w:ilvl="0">
      <w:lvlJc w:val="left"/>
      <w:lvlText w:val="(%1)"/>
      <w:numFmt w:val="lowerRoman"/>
      <w:start w:val="3"/>
    </w:lvl>
  </w:abstractNum>
  <w:abstractNum w:abstractNumId="163">
    <w:nsid w:val="135B8110"/>
    <w:multiLevelType w:val="hybridMultilevel"/>
    <w:lvl w:ilvl="0">
      <w:lvlJc w:val="left"/>
      <w:lvlText w:val="(%1)"/>
      <w:numFmt w:val="lowerLetter"/>
      <w:start w:val="1"/>
    </w:lvl>
  </w:abstractNum>
  <w:abstractNum w:abstractNumId="164">
    <w:nsid w:val="94927A8"/>
    <w:multiLevelType w:val="hybridMultilevel"/>
    <w:lvl w:ilvl="0">
      <w:lvlJc w:val="left"/>
      <w:lvlText w:val="(%1)"/>
      <w:numFmt w:val="lowerRoman"/>
      <w:start w:val="1"/>
    </w:lvl>
  </w:abstractNum>
  <w:abstractNum w:abstractNumId="165">
    <w:nsid w:val="DCDF8F6"/>
    <w:multiLevelType w:val="hybridMultilevel"/>
    <w:lvl w:ilvl="0">
      <w:lvlJc w:val="left"/>
      <w:lvlText w:val="(%1)"/>
      <w:numFmt w:val="decimal"/>
      <w:start w:val="1"/>
    </w:lvl>
    <w:lvl w:ilvl="1">
      <w:lvlJc w:val="left"/>
      <w:lvlText w:val="(%2)"/>
      <w:numFmt w:val="lowerRoman"/>
      <w:start w:val="1"/>
    </w:lvl>
  </w:abstractNum>
  <w:abstractNum w:abstractNumId="166">
    <w:nsid w:val="52D7B105"/>
    <w:multiLevelType w:val="hybridMultilevel"/>
    <w:lvl w:ilvl="0">
      <w:lvlJc w:val="left"/>
      <w:lvlText w:val="(%1)"/>
      <w:numFmt w:val="lowerRoman"/>
      <w:start w:val="7"/>
    </w:lvl>
  </w:abstractNum>
  <w:abstractNum w:abstractNumId="167">
    <w:nsid w:val="2E8A6394"/>
    <w:multiLevelType w:val="hybridMultilevel"/>
    <w:lvl w:ilvl="0">
      <w:lvlJc w:val="left"/>
      <w:lvlText w:val="(%1)"/>
      <w:numFmt w:val="decimal"/>
      <w:start w:val="3"/>
    </w:lvl>
  </w:abstractNum>
  <w:abstractNum w:abstractNumId="168">
    <w:nsid w:val="24E60401"/>
    <w:multiLevelType w:val="hybridMultilevel"/>
    <w:lvl w:ilvl="0">
      <w:lvlJc w:val="left"/>
      <w:lvlText w:val="(%1)"/>
      <w:numFmt w:val="decimal"/>
      <w:start w:val="13"/>
    </w:lvl>
    <w:lvl w:ilvl="1">
      <w:lvlJc w:val="left"/>
      <w:lvlText w:val="(%2)"/>
      <w:numFmt w:val="lowerRoman"/>
      <w:start w:val="1"/>
    </w:lvl>
  </w:abstractNum>
  <w:abstractNum w:abstractNumId="169">
    <w:nsid w:val="2A6AD9BE"/>
    <w:multiLevelType w:val="hybridMultilevel"/>
    <w:lvl w:ilvl="0">
      <w:lvlJc w:val="left"/>
      <w:lvlText w:val="%1"/>
      <w:numFmt w:val="decimal"/>
      <w:start w:val="1"/>
    </w:lvl>
    <w:lvl w:ilvl="1">
      <w:lvlJc w:val="left"/>
      <w:lvlText w:val="(%2)"/>
      <w:numFmt w:val="lowerRoman"/>
      <w:start w:val="8"/>
    </w:lvl>
  </w:abstractNum>
  <w:abstractNum w:abstractNumId="170">
    <w:nsid w:val="BAAC1B4"/>
    <w:multiLevelType w:val="hybridMultilevel"/>
    <w:lvl w:ilvl="0">
      <w:lvlJc w:val="left"/>
      <w:lvlText w:val="(%1)"/>
      <w:numFmt w:val="decimal"/>
      <w:start w:val="17"/>
    </w:lvl>
    <w:lvl w:ilvl="1">
      <w:lvlJc w:val="left"/>
      <w:lvlText w:val="%2"/>
      <w:numFmt w:val="lowerRoman"/>
      <w:start w:val="1"/>
    </w:lvl>
  </w:abstractNum>
  <w:abstractNum w:abstractNumId="171">
    <w:nsid w:val="36B2ACBC"/>
    <w:multiLevelType w:val="hybridMultilevel"/>
    <w:lvl w:ilvl="0">
      <w:lvlJc w:val="left"/>
      <w:lvlText w:val="(%1)"/>
      <w:numFmt w:val="lowerRoman"/>
      <w:start w:val="1"/>
    </w:lvl>
  </w:abstractNum>
  <w:abstractNum w:abstractNumId="172">
    <w:nsid w:val="779D8544"/>
    <w:multiLevelType w:val="hybridMultilevel"/>
    <w:lvl w:ilvl="0">
      <w:lvlJc w:val="left"/>
      <w:lvlText w:val="(%1)"/>
      <w:numFmt w:val="lowerRoman"/>
      <w:start w:val="1"/>
    </w:lvl>
  </w:abstractNum>
  <w:abstractNum w:abstractNumId="173">
    <w:nsid w:val="4AB26E78"/>
    <w:multiLevelType w:val="hybridMultilevel"/>
    <w:lvl w:ilvl="0">
      <w:lvlJc w:val="left"/>
      <w:lvlText w:val="%1."/>
      <w:numFmt w:val="decimal"/>
      <w:start w:val="1"/>
    </w:lvl>
    <w:lvl w:ilvl="1">
      <w:lvlJc w:val="left"/>
      <w:lvlText w:val="%2."/>
      <w:numFmt w:val="lowerLetter"/>
      <w:start w:val="1"/>
    </w:lvl>
  </w:abstractNum>
  <w:abstractNum w:abstractNumId="174">
    <w:nsid w:val="21FAA2FA"/>
    <w:multiLevelType w:val="hybridMultilevel"/>
    <w:lvl w:ilvl="0">
      <w:lvlJc w:val="left"/>
      <w:lvlText w:val="%1."/>
      <w:numFmt w:val="decimal"/>
      <w:start w:val="1"/>
    </w:lvl>
    <w:lvl w:ilvl="1">
      <w:lvlJc w:val="left"/>
      <w:lvlText w:val="%2."/>
      <w:numFmt w:val="lowerLetter"/>
      <w:start w:val="1"/>
    </w:lvl>
  </w:abstractNum>
  <w:abstractNum w:abstractNumId="175">
    <w:nsid w:val="5451CF49"/>
    <w:multiLevelType w:val="hybridMultilevel"/>
    <w:lvl w:ilvl="0">
      <w:lvlJc w:val="left"/>
      <w:lvlText w:val="(%1)"/>
      <w:numFmt w:val="lowerLetter"/>
      <w:start w:val="1"/>
    </w:lvl>
  </w:abstractNum>
  <w:abstractNum w:abstractNumId="176">
    <w:nsid w:val="6181EF6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79" Type="http://schemas.openxmlformats.org/officeDocument/2006/relationships/image" Target="media/image153.png"/><Relationship Id="rId180" Type="http://schemas.openxmlformats.org/officeDocument/2006/relationships/image" Target="media/image154.png"/><Relationship Id="rId181" Type="http://schemas.openxmlformats.org/officeDocument/2006/relationships/image" Target="media/image155.png"/><Relationship Id="rId182" Type="http://schemas.openxmlformats.org/officeDocument/2006/relationships/image" Target="media/image156.png"/><Relationship Id="rId183" Type="http://schemas.openxmlformats.org/officeDocument/2006/relationships/image" Target="media/image157.png"/><Relationship Id="rId184" Type="http://schemas.openxmlformats.org/officeDocument/2006/relationships/image" Target="media/image158.png"/><Relationship Id="rId185" Type="http://schemas.openxmlformats.org/officeDocument/2006/relationships/image" Target="media/image159.png"/><Relationship Id="rId186" Type="http://schemas.openxmlformats.org/officeDocument/2006/relationships/image" Target="media/image160.png"/><Relationship Id="rId187" Type="http://schemas.openxmlformats.org/officeDocument/2006/relationships/image" Target="media/image161.png"/><Relationship Id="rId188" Type="http://schemas.openxmlformats.org/officeDocument/2006/relationships/image" Target="media/image162.png"/><Relationship Id="rId189" Type="http://schemas.openxmlformats.org/officeDocument/2006/relationships/image" Target="media/image163.png"/><Relationship Id="rId190" Type="http://schemas.openxmlformats.org/officeDocument/2006/relationships/image" Target="media/image164.png"/><Relationship Id="rId191" Type="http://schemas.openxmlformats.org/officeDocument/2006/relationships/image" Target="media/image165.png"/><Relationship Id="rId192" Type="http://schemas.openxmlformats.org/officeDocument/2006/relationships/image" Target="media/image166.png"/><Relationship Id="rId193" Type="http://schemas.openxmlformats.org/officeDocument/2006/relationships/image" Target="media/image167.png"/><Relationship Id="rId194" Type="http://schemas.openxmlformats.org/officeDocument/2006/relationships/image" Target="media/image168.png"/><Relationship Id="rId195" Type="http://schemas.openxmlformats.org/officeDocument/2006/relationships/image" Target="media/image169.png"/><Relationship Id="rId196" Type="http://schemas.openxmlformats.org/officeDocument/2006/relationships/image" Target="media/image170.png"/><Relationship Id="rId197" Type="http://schemas.openxmlformats.org/officeDocument/2006/relationships/image" Target="media/image171.png"/><Relationship Id="rId198" Type="http://schemas.openxmlformats.org/officeDocument/2006/relationships/image" Target="media/image172.png"/><Relationship Id="rId199" Type="http://schemas.openxmlformats.org/officeDocument/2006/relationships/image" Target="media/image173.png"/><Relationship Id="rId200" Type="http://schemas.openxmlformats.org/officeDocument/2006/relationships/image" Target="media/image174.png"/><Relationship Id="rId201" Type="http://schemas.openxmlformats.org/officeDocument/2006/relationships/image" Target="media/image175.png"/><Relationship Id="rId202" Type="http://schemas.openxmlformats.org/officeDocument/2006/relationships/image" Target="media/image176.png"/><Relationship Id="rId203" Type="http://schemas.openxmlformats.org/officeDocument/2006/relationships/image" Target="media/image177.png"/><Relationship Id="rId204" Type="http://schemas.openxmlformats.org/officeDocument/2006/relationships/image" Target="media/image178.png"/><Relationship Id="rId205" Type="http://schemas.openxmlformats.org/officeDocument/2006/relationships/image" Target="media/image179.png"/><Relationship Id="rId206" Type="http://schemas.openxmlformats.org/officeDocument/2006/relationships/image" Target="media/image180.png"/><Relationship Id="rId207" Type="http://schemas.openxmlformats.org/officeDocument/2006/relationships/image" Target="media/image181.png"/><Relationship Id="rId208" Type="http://schemas.openxmlformats.org/officeDocument/2006/relationships/image" Target="media/image182.png"/><Relationship Id="rId209" Type="http://schemas.openxmlformats.org/officeDocument/2006/relationships/image" Target="media/image183.png"/><Relationship Id="rId210" Type="http://schemas.openxmlformats.org/officeDocument/2006/relationships/image" Target="media/image184.png"/><Relationship Id="rId211" Type="http://schemas.openxmlformats.org/officeDocument/2006/relationships/image" Target="media/image185.png"/><Relationship Id="rId212" Type="http://schemas.openxmlformats.org/officeDocument/2006/relationships/image" Target="media/image186.png"/><Relationship Id="rId213" Type="http://schemas.openxmlformats.org/officeDocument/2006/relationships/image" Target="media/image187.png"/><Relationship Id="rId214" Type="http://schemas.openxmlformats.org/officeDocument/2006/relationships/image" Target="media/image188.png"/><Relationship Id="rId215" Type="http://schemas.openxmlformats.org/officeDocument/2006/relationships/image" Target="media/image189.png"/><Relationship Id="rId216" Type="http://schemas.openxmlformats.org/officeDocument/2006/relationships/image" Target="media/image190.png"/><Relationship Id="rId217" Type="http://schemas.openxmlformats.org/officeDocument/2006/relationships/image" Target="media/image191.png"/><Relationship Id="rId218"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223" Type="http://schemas.openxmlformats.org/officeDocument/2006/relationships/image" Target="media/image197.png"/><Relationship Id="rId224" Type="http://schemas.openxmlformats.org/officeDocument/2006/relationships/image" Target="media/image198.png"/><Relationship Id="rId225" Type="http://schemas.openxmlformats.org/officeDocument/2006/relationships/image" Target="media/image199.png"/><Relationship Id="rId226" Type="http://schemas.openxmlformats.org/officeDocument/2006/relationships/image" Target="media/image200.png"/><Relationship Id="rId227" Type="http://schemas.openxmlformats.org/officeDocument/2006/relationships/image" Target="media/image201.png"/><Relationship Id="rId228" Type="http://schemas.openxmlformats.org/officeDocument/2006/relationships/image" Target="media/image202.png"/><Relationship Id="rId229" Type="http://schemas.openxmlformats.org/officeDocument/2006/relationships/image" Target="media/image203.png"/><Relationship Id="rId230" Type="http://schemas.openxmlformats.org/officeDocument/2006/relationships/image" Target="media/image204.png"/><Relationship Id="rId231" Type="http://schemas.openxmlformats.org/officeDocument/2006/relationships/image" Target="media/image205.png"/><Relationship Id="rId232" Type="http://schemas.openxmlformats.org/officeDocument/2006/relationships/image" Target="media/image206.png"/><Relationship Id="rId233" Type="http://schemas.openxmlformats.org/officeDocument/2006/relationships/image" Target="media/image207.png"/><Relationship Id="rId234" Type="http://schemas.openxmlformats.org/officeDocument/2006/relationships/image" Target="media/image208.png"/><Relationship Id="rId235" Type="http://schemas.openxmlformats.org/officeDocument/2006/relationships/image" Target="media/image209.png"/><Relationship Id="rId236" Type="http://schemas.openxmlformats.org/officeDocument/2006/relationships/image" Target="media/image210.png"/><Relationship Id="rId237" Type="http://schemas.openxmlformats.org/officeDocument/2006/relationships/image" Target="media/image211.png"/><Relationship Id="rId238" Type="http://schemas.openxmlformats.org/officeDocument/2006/relationships/image" Target="media/image212.png"/><Relationship Id="rId239" Type="http://schemas.openxmlformats.org/officeDocument/2006/relationships/image" Target="media/image213.png"/><Relationship Id="rId240" Type="http://schemas.openxmlformats.org/officeDocument/2006/relationships/image" Target="media/image214.png"/><Relationship Id="rId241" Type="http://schemas.openxmlformats.org/officeDocument/2006/relationships/image" Target="media/image215.png"/><Relationship Id="rId242" Type="http://schemas.openxmlformats.org/officeDocument/2006/relationships/image" Target="media/image216.png"/><Relationship Id="rId243" Type="http://schemas.openxmlformats.org/officeDocument/2006/relationships/image" Target="media/image217.png"/><Relationship Id="rId244" Type="http://schemas.openxmlformats.org/officeDocument/2006/relationships/image" Target="media/image218.png"/><Relationship Id="rId245" Type="http://schemas.openxmlformats.org/officeDocument/2006/relationships/image" Target="media/image219.png"/><Relationship Id="rId246" Type="http://schemas.openxmlformats.org/officeDocument/2006/relationships/image" Target="media/image220.png"/><Relationship Id="rId247" Type="http://schemas.openxmlformats.org/officeDocument/2006/relationships/image" Target="media/image221.png"/><Relationship Id="rId248" Type="http://schemas.openxmlformats.org/officeDocument/2006/relationships/image" Target="media/image222.png"/><Relationship Id="rId249" Type="http://schemas.openxmlformats.org/officeDocument/2006/relationships/image" Target="media/image223.png"/><Relationship Id="rId250" Type="http://schemas.openxmlformats.org/officeDocument/2006/relationships/image" Target="media/image224.png"/><Relationship Id="rId251" Type="http://schemas.openxmlformats.org/officeDocument/2006/relationships/image" Target="media/image225.png"/><Relationship Id="rId252" Type="http://schemas.openxmlformats.org/officeDocument/2006/relationships/image" Target="media/image226.png"/><Relationship Id="rId253" Type="http://schemas.openxmlformats.org/officeDocument/2006/relationships/image" Target="media/image227.png"/><Relationship Id="rId254" Type="http://schemas.openxmlformats.org/officeDocument/2006/relationships/image" Target="media/image228.png"/><Relationship Id="rId255" Type="http://schemas.openxmlformats.org/officeDocument/2006/relationships/image" Target="media/image229.png"/><Relationship Id="rId256" Type="http://schemas.openxmlformats.org/officeDocument/2006/relationships/image" Target="media/image230.png"/><Relationship Id="rId257" Type="http://schemas.openxmlformats.org/officeDocument/2006/relationships/image" Target="media/image231.png"/><Relationship Id="rId258" Type="http://schemas.openxmlformats.org/officeDocument/2006/relationships/image" Target="media/image232.png"/><Relationship Id="rId259" Type="http://schemas.openxmlformats.org/officeDocument/2006/relationships/image" Target="media/image233.png"/><Relationship Id="rId260" Type="http://schemas.openxmlformats.org/officeDocument/2006/relationships/image" Target="media/image234.png"/><Relationship Id="rId261" Type="http://schemas.openxmlformats.org/officeDocument/2006/relationships/image" Target="media/image235.png"/><Relationship Id="rId262" Type="http://schemas.openxmlformats.org/officeDocument/2006/relationships/image" Target="media/image236.png"/><Relationship Id="rId263" Type="http://schemas.openxmlformats.org/officeDocument/2006/relationships/image" Target="media/image237.png"/><Relationship Id="rId264" Type="http://schemas.openxmlformats.org/officeDocument/2006/relationships/image" Target="media/image238.png"/><Relationship Id="rId265" Type="http://schemas.openxmlformats.org/officeDocument/2006/relationships/image" Target="media/image239.png"/><Relationship Id="rId266" Type="http://schemas.openxmlformats.org/officeDocument/2006/relationships/image" Target="media/image240.png"/><Relationship Id="rId267" Type="http://schemas.openxmlformats.org/officeDocument/2006/relationships/image" Target="media/image241.png"/><Relationship Id="rId268" Type="http://schemas.openxmlformats.org/officeDocument/2006/relationships/image" Target="media/image242.png"/><Relationship Id="rId269" Type="http://schemas.openxmlformats.org/officeDocument/2006/relationships/image" Target="media/image243.png"/><Relationship Id="rId270" Type="http://schemas.openxmlformats.org/officeDocument/2006/relationships/image" Target="media/image244.png"/><Relationship Id="rId271" Type="http://schemas.openxmlformats.org/officeDocument/2006/relationships/image" Target="media/image245.png"/><Relationship Id="rId272" Type="http://schemas.openxmlformats.org/officeDocument/2006/relationships/image" Target="media/image246.png"/><Relationship Id="rId273" Type="http://schemas.openxmlformats.org/officeDocument/2006/relationships/image" Target="media/image247.png"/><Relationship Id="rId274" Type="http://schemas.openxmlformats.org/officeDocument/2006/relationships/image" Target="media/image248.png"/><Relationship Id="rId275" Type="http://schemas.openxmlformats.org/officeDocument/2006/relationships/image" Target="media/image249.png"/><Relationship Id="rId276" Type="http://schemas.openxmlformats.org/officeDocument/2006/relationships/image" Target="media/image250.png"/><Relationship Id="rId277" Type="http://schemas.openxmlformats.org/officeDocument/2006/relationships/image" Target="media/image251.png"/><Relationship Id="rId278" Type="http://schemas.openxmlformats.org/officeDocument/2006/relationships/image" Target="media/image252.png"/><Relationship Id="rId279" Type="http://schemas.openxmlformats.org/officeDocument/2006/relationships/image" Target="media/image253.png"/><Relationship Id="rId280" Type="http://schemas.openxmlformats.org/officeDocument/2006/relationships/image" Target="media/image254.png"/><Relationship Id="rId281" Type="http://schemas.openxmlformats.org/officeDocument/2006/relationships/image" Target="media/image255.png"/><Relationship Id="rId282" Type="http://schemas.openxmlformats.org/officeDocument/2006/relationships/image" Target="media/image256.png"/><Relationship Id="rId283" Type="http://schemas.openxmlformats.org/officeDocument/2006/relationships/image" Target="media/image257.png"/><Relationship Id="rId284" Type="http://schemas.openxmlformats.org/officeDocument/2006/relationships/image" Target="media/image258.png"/><Relationship Id="rId285" Type="http://schemas.openxmlformats.org/officeDocument/2006/relationships/image" Target="media/image259.png"/><Relationship Id="rId286" Type="http://schemas.openxmlformats.org/officeDocument/2006/relationships/image" Target="media/image260.png"/><Relationship Id="rId287" Type="http://schemas.openxmlformats.org/officeDocument/2006/relationships/image" Target="media/image261.png"/><Relationship Id="rId288" Type="http://schemas.openxmlformats.org/officeDocument/2006/relationships/image" Target="media/image262.png"/><Relationship Id="rId289" Type="http://schemas.openxmlformats.org/officeDocument/2006/relationships/image" Target="media/image263.png"/><Relationship Id="rId290" Type="http://schemas.openxmlformats.org/officeDocument/2006/relationships/image" Target="media/image264.png"/><Relationship Id="rId291" Type="http://schemas.openxmlformats.org/officeDocument/2006/relationships/image" Target="media/image265.png"/><Relationship Id="rId160" Type="http://schemas.openxmlformats.org/officeDocument/2006/relationships/hyperlink" Target="http://www.sec.gov/Archives/edgar/data/1392326/000119312524206723/d859782dex991.htm" TargetMode="External"/><Relationship Id="rId161" Type="http://schemas.openxmlformats.org/officeDocument/2006/relationships/hyperlink" Target="http://www.sec.gov/Archives/edgar/data/1392326/000119312524206723/d859782dex992.htm" TargetMode="External"/><Relationship Id="rId162" Type="http://schemas.openxmlformats.org/officeDocument/2006/relationships/hyperlink" Target="http://www.sec.gov/Archives/edgar/data/1392326/000119312524206723/d859782dex993.htm" TargetMode="External"/><Relationship Id="rId163" Type="http://schemas.openxmlformats.org/officeDocument/2006/relationships/hyperlink" Target="http://www.sec.gov/Archives/edgar/data/1392326/000095012311087926/y92932exv99wii.htm" TargetMode="External"/><Relationship Id="rId164" Type="http://schemas.openxmlformats.org/officeDocument/2006/relationships/hyperlink" Target="https://www.sec.gov/Archives/edgar/data/1392326/000119312522123927/d332302dex48.htm" TargetMode="External"/><Relationship Id="rId165" Type="http://schemas.openxmlformats.org/officeDocument/2006/relationships/hyperlink" Target="https://www.sec.gov/Archives/edgar/data/1392326/000104746907001935/a2176615zex-10_4.htm" TargetMode="External"/><Relationship Id="rId166" Type="http://schemas.openxmlformats.org/officeDocument/2006/relationships/hyperlink" Target="https://www.sec.gov/Archives/edgar/data/1392326/000119312513038546/d472929dex442.htm" TargetMode="External"/><Relationship Id="rId167" Type="http://schemas.openxmlformats.org/officeDocument/2006/relationships/hyperlink" Target="https://www.sec.gov/Archives/edgar/data/1392326/000119312518070556/d537681dex438.htm" TargetMode="External"/><Relationship Id="rId168" Type="http://schemas.openxmlformats.org/officeDocument/2006/relationships/hyperlink" Target="https://www.sec.gov/Archives/edgar/data/1392326/000119312518070556/d537681dex439.htm" TargetMode="External"/><Relationship Id="rId169" Type="http://schemas.openxmlformats.org/officeDocument/2006/relationships/hyperlink" Target="https://www.sec.gov/Archives/edgar/data/1392326/000119312518070556/d537681dex440.htm" TargetMode="External"/><Relationship Id="rId170" Type="http://schemas.openxmlformats.org/officeDocument/2006/relationships/hyperlink" Target="https://www.sec.gov/Archives/edgar/data/1392326/000119312522123927/d332302dex414.htm" TargetMode="External"/><Relationship Id="rId171" Type="http://schemas.openxmlformats.org/officeDocument/2006/relationships/hyperlink" Target="https://www.sec.gov/Archives/edgar/data/1392326/000119312524206723/d859782dex997.htm" TargetMode="External"/><Relationship Id="rId172" Type="http://schemas.openxmlformats.org/officeDocument/2006/relationships/hyperlink" Target="http://www.sec.gov/Archives/edgar/data/1392326/000119312523275968/d283146dex992.htm" TargetMode="External"/><Relationship Id="rId173" Type="http://schemas.openxmlformats.org/officeDocument/2006/relationships/hyperlink" Target="https://www.sec.gov/Archives/edgar/data/1392326/000119312524206723/d859782dex994.htm" TargetMode="External"/><Relationship Id="rId174" Type="http://schemas.openxmlformats.org/officeDocument/2006/relationships/hyperlink" Target="https://www.sec.gov/Archives/edgar/data/1392326/000119312524206723/d859782dex995.htm" TargetMode="External"/><Relationship Id="rId175" Type="http://schemas.openxmlformats.org/officeDocument/2006/relationships/hyperlink" Target="https://www.sec.gov/Archives/edgar/data/1392326/000119312524206723/d859782dex996.htm" TargetMode="External"/><Relationship Id="rId176" Type="http://schemas.openxmlformats.org/officeDocument/2006/relationships/hyperlink" Target="https://www.sec.gov/Archives/edgar/data/1392326/000119312525013483/d857884dex11.htm" TargetMode="External"/><Relationship Id="rId177" Type="http://schemas.openxmlformats.org/officeDocument/2006/relationships/hyperlink" Target="https://www.sec.gov/Archives/edgar/data/1392326/000119312525084452/d842797dex111.htm" TargetMode="External"/><Relationship Id="rId178" Type="http://schemas.openxmlformats.org/officeDocument/2006/relationships/hyperlink" Target="https://www.sec.gov/Archives/edgar/data/1392326/000119312525084452/d842797d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2026-04-27T08:41:22Z</dcterms:created>
  <dcterms:modified xsi:type="dcterms:W3CDTF">2026-04-27T08:41:22Z</dcterms:modified>
</cp:coreProperties>
</file>