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8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42"/>
          <w:szCs w:val="42"/>
          <w:b w:val="1"/>
          <w:bCs w:val="1"/>
          <w:color w:val="auto"/>
        </w:rPr>
        <w:t>CAPITAL CLEAN ENERGY CARRIERS CORP.</w:t>
      </w:r>
    </w:p>
    <w:p>
      <w:pPr>
        <w:spacing w:after="0" w:line="7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3 Iassonos Street</w:t>
      </w:r>
    </w:p>
    <w:p>
      <w:pPr>
        <w:spacing w:after="0" w:line="3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Piraeus, 18537 Greece</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40"/>
          </w:cols>
          <w:pgMar w:left="440" w:top="484" w:right="131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Attached as </w:t>
      </w:r>
      <w:r>
        <w:rPr>
          <w:rFonts w:ascii="Times New Roman" w:cs="Times New Roman" w:eastAsia="Times New Roman" w:hAnsi="Times New Roman"/>
          <w:sz w:val="18"/>
          <w:szCs w:val="18"/>
          <w:u w:val="single" w:color="auto"/>
          <w:color w:val="0000EE"/>
        </w:rPr>
        <w:t>Exhibit I</w:t>
      </w:r>
      <w:r>
        <w:rPr>
          <w:rFonts w:ascii="Times New Roman" w:cs="Times New Roman" w:eastAsia="Times New Roman" w:hAnsi="Times New Roman"/>
          <w:sz w:val="18"/>
          <w:szCs w:val="18"/>
          <w:color w:val="auto"/>
        </w:rPr>
        <w:t xml:space="preserve"> hereto is a copy of the press release of Capital Clean Energy Carriers Corp. announcing the financial results for the first quarter ended March 31, 2026.</w:t>
      </w:r>
    </w:p>
    <w:p>
      <w:pPr>
        <w:sectPr>
          <w:pgSz w:w="11900" w:h="16838" w:orient="portrait"/>
          <w:cols w:equalWidth="0" w:num="1">
            <w:col w:w="10720"/>
          </w:cols>
          <w:pgMar w:left="440" w:top="270" w:right="7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Dated: May 11, 2026</w:t>
      </w:r>
      <w:r>
        <w:rPr>
          <w:sz w:val="20"/>
          <w:szCs w:val="20"/>
          <w:color w:val="auto"/>
        </w:rPr>
        <w:tab/>
      </w:r>
      <w:r>
        <w:rPr>
          <w:rFonts w:ascii="Times New Roman" w:cs="Times New Roman" w:eastAsia="Times New Roman" w:hAnsi="Times New Roman"/>
          <w:sz w:val="17"/>
          <w:szCs w:val="17"/>
          <w:color w:val="auto"/>
        </w:rPr>
        <w:t>CAPITAL CLEAN ENERGY CARRIERS CORP.</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Gerasimos (Jerry) Kalogiratos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173990</wp:posOffset>
            </wp:positionV>
            <wp:extent cx="2134235"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CAPITAL CLEAN ENERGY CARRIERS CORP. ANNOUNCES FIRST QUARTER 2026 FINANCIAL RESULTS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ATHENS, Greece, May 7, 2026 (GLOBE NEWSWIRE) – Capital Clean Energy Carriers Corp. (the “Company”, “CCEC”, “we” or “us”) (NASDAQ:</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CCEC), an international owner of ocean-going vessels, today released its financial results for the first quarter ended March 31, 2026.</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Key Highlights</w:t>
      </w:r>
    </w:p>
    <w:p>
      <w:pPr>
        <w:spacing w:after="0" w:line="135"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 offering of €250.0 million in unsecured bonds with a seven-year maturity listed on the Athens Exchange (“ATHEX”)</w:t>
      </w:r>
    </w:p>
    <w:p>
      <w:pPr>
        <w:spacing w:after="0" w:line="130"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divest 49% stake in the LNG/C Amore Mio I, formed a Joint Venture company with an affiliate of the BGN Group and secured a 10-year time charter</w:t>
      </w:r>
    </w:p>
    <w:p>
      <w:pPr>
        <w:spacing w:after="0" w:line="65"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Took delivery of our second LCO2/multi-gas carrier, the </w:t>
      </w:r>
      <w:r>
        <w:rPr>
          <w:rFonts w:ascii="Times New Roman" w:cs="Times New Roman" w:eastAsia="Times New Roman" w:hAnsi="Times New Roman"/>
          <w:sz w:val="18"/>
          <w:szCs w:val="18"/>
          <w:i w:val="1"/>
          <w:iCs w:val="1"/>
          <w:color w:val="auto"/>
        </w:rPr>
        <w:t>Amadeus</w:t>
      </w:r>
    </w:p>
    <w:p>
      <w:pPr>
        <w:spacing w:after="0" w:line="132"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forward the delivery of three LNG/Cs under construction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dividend of $0.15 per share for the first quarter of 2026</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approved $20.0 million share buyback program</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Key Financial Highlights (continuing operations)</w:t>
      </w:r>
    </w:p>
    <w:p>
      <w:pPr>
        <w:spacing w:after="0" w:line="250"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54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Three-month periods ended March 31,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540" w:type="dxa"/>
            <w:vAlign w:val="bottom"/>
            <w:vMerge w:val="restart"/>
          </w:tcPr>
          <w:p>
            <w:pPr>
              <w:spacing w:after="0"/>
              <w:rPr>
                <w:sz w:val="10"/>
                <w:szCs w:val="10"/>
                <w:color w:val="auto"/>
              </w:rPr>
            </w:pPr>
          </w:p>
        </w:tc>
        <w:tc>
          <w:tcPr>
            <w:tcW w:w="9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gridSpan w:val="2"/>
          </w:tcPr>
          <w:p>
            <w:pPr>
              <w:jc w:val="center"/>
              <w:ind w:left="295"/>
              <w:spacing w:after="0" w:line="119" w:lineRule="exact"/>
              <w:rPr>
                <w:sz w:val="20"/>
                <w:szCs w:val="20"/>
                <w:color w:val="auto"/>
              </w:rPr>
            </w:pPr>
            <w:r>
              <w:rPr>
                <w:rFonts w:ascii="Times New Roman" w:cs="Times New Roman" w:eastAsia="Times New Roman" w:hAnsi="Times New Roman"/>
                <w:sz w:val="13"/>
                <w:szCs w:val="13"/>
                <w:color w:val="auto"/>
              </w:rPr>
              <w:t>(Decrease) /</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$98.0 million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102.0 million</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 million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million</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finance cost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million</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million</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million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million</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Average number of vessels</w:t>
            </w:r>
            <w:r>
              <w:rPr>
                <w:rFonts w:ascii="Times New Roman" w:cs="Times New Roman" w:eastAsia="Times New Roman" w:hAnsi="Times New Roman"/>
                <w:sz w:val="25"/>
                <w:szCs w:val="25"/>
                <w:color w:val="auto"/>
                <w:vertAlign w:val="superscript"/>
              </w:rPr>
              <w:t>1</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40" w:hanging="424"/>
        <w:spacing w:after="0" w:line="208"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Average number of vessels is measured by aggregating the number of days each vessel was part of our fleet during the period and dividing such aggregate number by the number of calendar days in the period.</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 Commentary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Jerry Kalogiratos, Chief Executive Officer of CCEC, commented:</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first quarter, the Company continued to deliver on our strategy to build a leading gas transportation platform, generating both robust cash flows and further strengthening our financial position through a successful bond offering. Post quarter end, we executed an innovative transaction, which not only highlighted our ability to attract a co-investment with a major energy trading partner, but also enhanced the quality and diversification of our charter portfolio.</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a result, the average firm contract duration for our LNG/Cs stands at 6.9 years, representing approximately $2.9 billion in contracted revenues – which increases to 9.9 years and $4.3 billion, respectively, should all extension options be exercised by our charterers.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ongoing geopolitical tensions in the Middle East, particularly the Iran conflict, have created considerable uncertainty and disrupted across global energy shipping markets. The Company’s long-term contracts and solid market positioning offer significant resilience amid these volatile conditions. At the same time, we remain vigilant of opportunities that might develop from such volatility and with this view, we have advanced the delivery timeline of three of our LNG/C newbuildings.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Last but not least, during the quarter Mr. Martin Houston was appointed as Chairman of the Company. Mr. Houston’s extensive experience and deep expertise across all aspects of the LNG value chain is expected to reinforce the delivery of our strategic goals.”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 Update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30, 2026, the Company took delivery of its second LCO2/multi-gas carrier, the Amadeus (Hyundai Mipo Dockyard Co. Ltd, 22,000 cbm). The acquisition of the Amadeus was financed with $21.6 million of cash on hand and a 5-year term loan of $50.9 million, which is repayable in 20 quarterly installments of $0.6 million, with a balloon payment of $38.1 million payable with the final installment in April 2031. Under the loan, the Company may borrow an additional amount of up to $7.8 million, if the vessel secures longer-term employment.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period, we agreed with the shipyard to bring forward the delivery of the following three LNG/Cs currently under construction:</w:t>
      </w:r>
    </w:p>
    <w:p>
      <w:pPr>
        <w:spacing w:after="0" w:line="246" w:lineRule="exact"/>
        <w:rPr>
          <w:sz w:val="20"/>
          <w:szCs w:val="20"/>
          <w:color w:val="auto"/>
        </w:rPr>
      </w:pPr>
    </w:p>
    <w:tbl>
      <w:tblPr>
        <w:tblLayout w:type="fixed"/>
        <w:tblInd w:w="140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LNG/C</w:t>
            </w:r>
          </w:p>
        </w:tc>
        <w:tc>
          <w:tcPr>
            <w:tcW w:w="25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expected delivery date</w:t>
            </w:r>
          </w:p>
        </w:tc>
        <w:tc>
          <w:tcPr>
            <w:tcW w:w="19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Previous delivery date</w:t>
            </w:r>
          </w:p>
        </w:tc>
      </w:tr>
      <w:tr>
        <w:trPr>
          <w:trHeight w:val="318"/>
        </w:trPr>
        <w:tc>
          <w:tcPr>
            <w:tcW w:w="3260" w:type="dxa"/>
            <w:vAlign w:val="bottom"/>
            <w:gridSpan w:val="3"/>
          </w:tcPr>
          <w:p>
            <w:pPr>
              <w:jc w:val="center"/>
              <w:ind w:right="2320"/>
              <w:spacing w:after="0"/>
              <w:rPr>
                <w:sz w:val="20"/>
                <w:szCs w:val="20"/>
                <w:color w:val="auto"/>
              </w:rPr>
            </w:pPr>
            <w:r>
              <w:rPr>
                <w:rFonts w:ascii="Times New Roman" w:cs="Times New Roman" w:eastAsia="Times New Roman" w:hAnsi="Times New Roman"/>
                <w:sz w:val="18"/>
                <w:szCs w:val="18"/>
                <w:color w:val="auto"/>
              </w:rPr>
              <w:t>Archimidis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19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r>
      <w:tr>
        <w:trPr>
          <w:trHeight w:val="324"/>
        </w:trPr>
        <w:tc>
          <w:tcPr>
            <w:tcW w:w="3260" w:type="dxa"/>
            <w:vAlign w:val="bottom"/>
            <w:gridSpan w:val="3"/>
          </w:tcPr>
          <w:p>
            <w:pPr>
              <w:jc w:val="center"/>
              <w:ind w:right="2320"/>
              <w:spacing w:after="0"/>
              <w:rPr>
                <w:sz w:val="20"/>
                <w:szCs w:val="20"/>
                <w:color w:val="auto"/>
              </w:rPr>
            </w:pPr>
            <w:r>
              <w:rPr>
                <w:rFonts w:ascii="Times New Roman" w:cs="Times New Roman" w:eastAsia="Times New Roman" w:hAnsi="Times New Roman"/>
                <w:sz w:val="18"/>
                <w:szCs w:val="18"/>
                <w:color w:val="auto"/>
              </w:rPr>
              <w:t>Agamemnon</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19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2027</w:t>
            </w:r>
          </w:p>
        </w:tc>
      </w:tr>
      <w:tr>
        <w:trPr>
          <w:trHeight w:val="324"/>
        </w:trPr>
        <w:tc>
          <w:tcPr>
            <w:tcW w:w="3260" w:type="dxa"/>
            <w:vAlign w:val="bottom"/>
            <w:gridSpan w:val="3"/>
          </w:tcPr>
          <w:p>
            <w:pPr>
              <w:jc w:val="center"/>
              <w:ind w:right="2320"/>
              <w:spacing w:after="0"/>
              <w:rPr>
                <w:sz w:val="20"/>
                <w:szCs w:val="20"/>
                <w:color w:val="auto"/>
              </w:rPr>
            </w:pPr>
            <w:r>
              <w:rPr>
                <w:rFonts w:ascii="Times New Roman" w:cs="Times New Roman" w:eastAsia="Times New Roman" w:hAnsi="Times New Roman"/>
                <w:sz w:val="18"/>
                <w:szCs w:val="18"/>
                <w:color w:val="auto"/>
              </w:rPr>
              <w:t>Alcaios I</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2026</w:t>
            </w:r>
          </w:p>
        </w:tc>
        <w:tc>
          <w:tcPr>
            <w:tcW w:w="19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2026</w:t>
            </w:r>
          </w:p>
        </w:tc>
      </w:tr>
    </w:tbl>
    <w:p>
      <w:pPr>
        <w:spacing w:after="0" w:line="196"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LNG/C </w:t>
      </w:r>
      <w:r>
        <w:rPr>
          <w:rFonts w:ascii="Times New Roman" w:cs="Times New Roman" w:eastAsia="Times New Roman" w:hAnsi="Times New Roman"/>
          <w:sz w:val="18"/>
          <w:szCs w:val="18"/>
          <w:i w:val="1"/>
          <w:iCs w:val="1"/>
          <w:color w:val="auto"/>
        </w:rPr>
        <w:t>Archimidis</w:t>
      </w:r>
      <w:r>
        <w:rPr>
          <w:rFonts w:ascii="Times New Roman" w:cs="Times New Roman" w:eastAsia="Times New Roman" w:hAnsi="Times New Roman"/>
          <w:sz w:val="18"/>
          <w:szCs w:val="18"/>
          <w:color w:val="auto"/>
        </w:rPr>
        <w:t xml:space="preserve"> is expected to be financed by cash on hand and a new JOLCO facility for an amount of $216.0 million with a duration of eight years.</w:t>
      </w:r>
    </w:p>
    <w:p>
      <w:pPr>
        <w:spacing w:after="0" w:line="15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of LNG/C </w:t>
      </w:r>
      <w:r>
        <w:rPr>
          <w:rFonts w:ascii="Times New Roman" w:cs="Times New Roman" w:eastAsia="Times New Roman" w:hAnsi="Times New Roman"/>
          <w:sz w:val="18"/>
          <w:szCs w:val="18"/>
          <w:i w:val="1"/>
          <w:iCs w:val="1"/>
          <w:color w:val="auto"/>
        </w:rPr>
        <w:t>Agamemnon</w:t>
      </w:r>
      <w:r>
        <w:rPr>
          <w:rFonts w:ascii="Times New Roman" w:cs="Times New Roman" w:eastAsia="Times New Roman" w:hAnsi="Times New Roman"/>
          <w:sz w:val="18"/>
          <w:szCs w:val="18"/>
          <w:color w:val="auto"/>
        </w:rPr>
        <w:t xml:space="preserve"> is expected to be financed by cash on hand and a new senior secured bridge loan facility of $216.0 million. The bridge facility is expected to be refinanced upon the drawdown in July 2026 of a JOLCO facility for an amount of $216.0 million with a duration of eight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facilities remain subject to final long form documentation.</w:t>
      </w:r>
    </w:p>
    <w:p>
      <w:pPr>
        <w:spacing w:after="0" w:line="3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Divestment of 49% Stake in the LNG/C Amore Mio I, Formation of a Joint Venture Company With an Affiliate of the BGN Group and Secured a 10-Year Time Charter</w:t>
      </w:r>
    </w:p>
    <w:p>
      <w:pPr>
        <w:spacing w:after="0" w:line="4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On April 15, 2026, the Company announced that it has agreed to sell in the first quarter of 2027 the LNG/C </w:t>
      </w:r>
      <w:r>
        <w:rPr>
          <w:rFonts w:ascii="Times New Roman" w:cs="Times New Roman" w:eastAsia="Times New Roman" w:hAnsi="Times New Roman"/>
          <w:sz w:val="18"/>
          <w:szCs w:val="18"/>
          <w:i w:val="1"/>
          <w:iCs w:val="1"/>
          <w:color w:val="auto"/>
        </w:rPr>
        <w:t>Amore Mio I</w:t>
      </w:r>
      <w:r>
        <w:rPr>
          <w:rFonts w:ascii="Times New Roman" w:cs="Times New Roman" w:eastAsia="Times New Roman" w:hAnsi="Times New Roman"/>
          <w:sz w:val="18"/>
          <w:szCs w:val="18"/>
          <w:color w:val="auto"/>
        </w:rPr>
        <w:t xml:space="preserve"> (2023-built 174,000 cbm) to a subsidiary of a joint venture company (the “Joint Venture”) owned 51% by CCEC and 49% by a company affiliated with global energy trader BGN.</w:t>
      </w:r>
    </w:p>
    <w:p>
      <w:pPr>
        <w:spacing w:after="0" w:line="16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Joint Venture has secured a 10-year time charter (with two three-year extension options) of the vessel to BGN INT DMCC commencing simultaneously with the acquisition of the vessel and expected, if all options are exercised, to generate aggregate revenues of up to approximately $485.6 million and extending up to 2043.</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Joint Venture will be effected through BM Capital HoldCo LLC, a newly formed Marshall Islands limited liability company, in which CCEC holds a 51% interest and BMarine Shipping Investment FZCO holds the remaining 49%. BM Capital LLC, a wholly owned subsidiary of BM Capital HoldCo LLC, will acquire the vessel for $230.0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existing financing on the vessel is expected to be refinanced upon acquisition of the vessel in the first quarter of 2027.</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Under-Construction Fleet Update</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Company’s under-construction fleet includes nine latest-generation LNG/Cs (referred to below as the “Newbuild LNG/Cs”) plus six dual-fuel medium gas carriers and two handy LCO2/multi-gas carriers (referred to below as the “Gas Fleet”). The following table sets out the Company’s schedule of expected capex payments for its under-construction fleet: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Q2</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Q3</w:t>
            </w: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Q4</w:t>
            </w: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Q1</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Q2</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Q3</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Q4</w:t>
            </w: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Q1</w:t>
            </w: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Q2</w:t>
            </w: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Q3</w:t>
            </w:r>
          </w:p>
        </w:tc>
        <w:tc>
          <w:tcPr>
            <w:tcW w:w="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Q4</w:t>
            </w: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Q1</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tcPr>
          <w:p>
            <w:pPr>
              <w:spacing w:after="0"/>
              <w:rPr>
                <w:sz w:val="15"/>
                <w:szCs w:val="15"/>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27</w:t>
            </w:r>
          </w:p>
        </w:tc>
        <w:tc>
          <w:tcPr>
            <w:tcW w:w="18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27</w:t>
            </w:r>
          </w:p>
        </w:tc>
        <w:tc>
          <w:tcPr>
            <w:tcW w:w="18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27</w:t>
            </w:r>
          </w:p>
        </w:tc>
        <w:tc>
          <w:tcPr>
            <w:tcW w:w="18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27</w:t>
            </w:r>
          </w:p>
        </w:tc>
        <w:tc>
          <w:tcPr>
            <w:tcW w:w="1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160" w:type="dxa"/>
            <w:vAlign w:val="bottom"/>
          </w:tcPr>
          <w:p>
            <w:pPr>
              <w:spacing w:after="0"/>
              <w:rPr>
                <w:sz w:val="15"/>
                <w:szCs w:val="15"/>
                <w:color w:val="auto"/>
              </w:rPr>
            </w:pPr>
          </w:p>
        </w:tc>
        <w:tc>
          <w:tcPr>
            <w:tcW w:w="3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28</w:t>
            </w:r>
          </w:p>
        </w:tc>
        <w:tc>
          <w:tcPr>
            <w:tcW w:w="160" w:type="dxa"/>
            <w:vAlign w:val="bottom"/>
          </w:tcPr>
          <w:p>
            <w:pPr>
              <w:spacing w:after="0"/>
              <w:rPr>
                <w:sz w:val="15"/>
                <w:szCs w:val="15"/>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28</w:t>
            </w:r>
          </w:p>
        </w:tc>
        <w:tc>
          <w:tcPr>
            <w:tcW w:w="1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160" w:type="dxa"/>
            <w:vAlign w:val="bottom"/>
          </w:tcPr>
          <w:p>
            <w:pPr>
              <w:spacing w:after="0"/>
              <w:rPr>
                <w:sz w:val="15"/>
                <w:szCs w:val="15"/>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29</w:t>
            </w: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Newbuild LNG/Cs</w:t>
            </w: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541.1</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149.7</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0.00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456.9</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24.7</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Gas Fleet</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61.2</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115.4</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0.00</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183.9</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396.4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602.3</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265.1</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0.00</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640.8</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24.7</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35.9</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74.1</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186.4</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2,251.5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First Quarter 2026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for the quarter ended March 31, 2026, was $18.3 million, compared with net income of $32.7 million for the first quarter of 2025.</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Total revenues for the quarter ended March 31, 2026, were $98.0 million, compared to $102.0 million during the first quarter of 2025. The decrease in revenue is attributable to off-hire days incurred by LNG/Cs </w:t>
      </w:r>
      <w:r>
        <w:rPr>
          <w:rFonts w:ascii="Times New Roman" w:cs="Times New Roman" w:eastAsia="Times New Roman" w:hAnsi="Times New Roman"/>
          <w:sz w:val="18"/>
          <w:szCs w:val="18"/>
          <w:i w:val="1"/>
          <w:iCs w:val="1"/>
          <w:color w:val="auto"/>
        </w:rPr>
        <w:t>Adamastos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Aristarchos</w:t>
      </w:r>
      <w:r>
        <w:rPr>
          <w:rFonts w:ascii="Times New Roman" w:cs="Times New Roman" w:eastAsia="Times New Roman" w:hAnsi="Times New Roman"/>
          <w:sz w:val="18"/>
          <w:szCs w:val="18"/>
          <w:color w:val="auto"/>
        </w:rPr>
        <w:t xml:space="preserve"> while passing their five-year special survey and the higher earnings achieved by one of our vessels operating under a short time charter during the first quarter of 2025, partly offset by the increase in the average number of vessels in our fleet following the delivery of the LCO2/multi-gas carrier </w:t>
      </w:r>
      <w:r>
        <w:rPr>
          <w:rFonts w:ascii="Times New Roman" w:cs="Times New Roman" w:eastAsia="Times New Roman" w:hAnsi="Times New Roman"/>
          <w:sz w:val="18"/>
          <w:szCs w:val="18"/>
          <w:i w:val="1"/>
          <w:iCs w:val="1"/>
          <w:color w:val="auto"/>
        </w:rPr>
        <w:t>Active</w:t>
      </w:r>
      <w:r>
        <w:rPr>
          <w:rFonts w:ascii="Times New Roman" w:cs="Times New Roman" w:eastAsia="Times New Roman" w:hAnsi="Times New Roman"/>
          <w:sz w:val="18"/>
          <w:szCs w:val="18"/>
          <w:color w:val="auto"/>
        </w:rPr>
        <w:t xml:space="preserve"> on January 5, 2026.</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Total expenses for the quarter ended March 31, 2026, were $54.3 million, compared to $43.2 million in the first quarter of 2025. Voyage expenses during the first quarter of 2026 amounted to $6.2 million, compared to $1.1 million during the first quarter of 2025. The increase in voyage expenses was mainly attributable to bunker expenses incurred by the LCO2/multi-gas carrier </w:t>
      </w:r>
      <w:r>
        <w:rPr>
          <w:rFonts w:ascii="Times New Roman" w:cs="Times New Roman" w:eastAsia="Times New Roman" w:hAnsi="Times New Roman"/>
          <w:sz w:val="18"/>
          <w:szCs w:val="18"/>
          <w:i w:val="1"/>
          <w:iCs w:val="1"/>
          <w:color w:val="auto"/>
        </w:rPr>
        <w:t>Active</w:t>
      </w:r>
      <w:r>
        <w:rPr>
          <w:rFonts w:ascii="Times New Roman" w:cs="Times New Roman" w:eastAsia="Times New Roman" w:hAnsi="Times New Roman"/>
          <w:sz w:val="18"/>
          <w:szCs w:val="18"/>
          <w:color w:val="auto"/>
        </w:rPr>
        <w:t xml:space="preserve"> during the period from its delivery from the yard until it commenced its time charter employment and ballast legs associated with certain of our vessels passing their five-year special survey, as well as war risk insurance premiums paid by certain of our vessels during the first quarter of 2026. Vessel operating expenses during the first quarter of 2026 amounted to $22.1 million, compared to $16.3 million during the first quarter of 2025. The increase in vessel operating expenses was mainly attributed to the costs incurred by the LNG/Cs that underwent their five-year special survey during the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7" w:name="page8"/>
    <w:bookmarkEnd w:id="7"/>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Total expenses for the first quarter of 2026 also include vessel depreciation and amortization of $22.7 million, compared to $21.8 million in the first quarter of 2025. The increase in depreciation and amortization during the first quarter of 2026 was attributable to the increase in the average number of vessels in our fleet. General and administrative expenses for the first quarter of 2026 amounted to $3.5 million, compared to $4.1 million in the first quarter of 2025 on the back of higher transaction costs incurred in 2025.</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other expenses, net for the quarter ended March 31, 2026, were $25.4 million compared to $26.1 million incurred in the first quarter of 2025. Total other expenses, net include interest expense and finance cost of $23.0 million for the first quarter of 2026, compared to $27.8 million for the first quarter of 2025. The decrease in interest expense and finance cost was mainly attributable to the decrease in the weighted average interest rate charged on our debt compared to the first quarter of last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Capitalization</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March 31, 2026, total cash amounted to $546.4 million. Total cash includes restricted cash of $21.0 million, which represents the minimum liquidity requirement under our financing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Company’s total shareholders’ equity amounted to $1,516.6 million, an increase of $17.2 million compared to</w:t>
      </w:r>
    </w:p>
    <w:p>
      <w:pPr>
        <w:spacing w:after="0" w:line="2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$1,499.4 million as of December 31, 2025. The increase during the three-month period ended March 31, 2026, reflects net income (including net income from discontinued operations) of $22.0 million, amortization associated with the equity incentive plan of $1.4 million, $5.7 million of common shares issued under our Dividend Reinvestment Plan net of expenses, partly offset by dividends declared during the period for a total amount of $8.9 million and other comprehensive loss of $3.0 million relating to the net effect of the cross-currency swap agreements we designated as an accounting hedge.</w:t>
      </w:r>
    </w:p>
    <w:p>
      <w:pPr>
        <w:spacing w:after="0" w:line="1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total debt was $2,626.1 million compared to $2,454.3 million as of December 31, 2025 (including discontinued operations).</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March 31, 2026, the weighted average margin on our floating debt, amounting to $1,818.7 million, was 1.7% over SOFR and the weighted average all-in interest rate on our fixed-rate debt, amounting to $807.5 million, was 4.6%.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new Chairman and new role of Vice-Chairman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March 9, 2026, the Company announced the appointment of director Martin Houston as Chairman of the Company’s board of directors with Keith Forman moving to a new role as Vice-Chairman.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€250.0 million unsecured bonds (ATHEX: CCECB1)</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25, 2026, CCEC successfully completed an unsecured bond offering of €250.0 million (the “Bonds”). The Bonds were admitted to trading in the fixed income securities category of the Regulated Market of the Athens Exchange (ATHEX) on February 26,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Bonds will mature in 2033 and have a coupon of 3.75%, payable semi-annually.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Part of the proceeds of the Bonds were used on April 22, 2026, to prepay the outstanding €150.0 million unsecured bonds issued in 2021. The remaining amount will be used to finance part of CCEC’s capital expenditure and for general corporate purposes. Total transaction costs associated with the offering amounted to approximately €7.5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 (“DRIP”)</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implemented a Dividend Reinvestment Plan to provide our shareholders with a convenient and economical way to reinvest cash dividends to purchase our common shares. The DRIP is open to our existing shareholders and investors who will become our shareholders in the future outside of the DRIP. In February 2026, the Company issued 275,592 common shares under the DRIP at the price of $20.73 per share, gross of issuance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total common shares outstanding was 60,113,445 (excluding 871,061 common shares held in treasury).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approved a share repurchase program, providing the Company with authorization to repurchase up to $20.0 million of the Company’s common shares, effective for a period of two years. The Company may repurchase these shares in the open market or in privately negotiated transactions, at times and prices that are considered to be appropriate by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 Distribution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April 28, 2026, the Board of Directors of the Company declared a cash dividend of $0.15 per share for the first quarter of 2026 payable on May 20, 2026, to shareholders of record on May 11,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LNG Market Update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first quarter of 2026 in LNG shipping was inevitably defined by the conflict in the Middle East and the significant LNG volume stranded in the Arabian Gulf, overshadowing what initially appeared to be a typical post-winter slowdown during the first two months of the quarter.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9" w:name="page10"/>
    <w:bookmarkEnd w:id="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conditions shifted sharply following the U.S.–Israeli strike on Iran and the effective closure of the Strait of Hormuz, which removed around 20% of global LNG supply. Supply uncertainty, stronger gas prices and the need for U.S. cargoes to backfill Asian LNG shortfalls supported tonne-mile demand and freight rates significantly.</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the same time, uncertainty led to LNG/C vessel relet supply length being pulled back, which in combination with the increase in tonne-mile demand, led to a spike in charter rates from around $30,000 per day to $300,000 per day for modern two-stroke vessels. As the disruption persisted and some vessels from Middle East producers were released in the spot market, a partial correction took place, but the spot market remains in the six-digit range for inter-basin trades moving into the second quarter of 2026.The term market also responded sharply to geopolitical developments. As expected, the front end of the forward curve was affected severely, with one-year charter rates surging from the mid-$30,000 per day range to approximately $100,000 per day, marking the first instance since late 2023 that short-term rates exceeded three-year levels. Although one-year time charter rates have since slightly moderated, they remain elevated, while longer-term rates (3 – 7 years) have continued to firm, as stronger near-term fundamentals fed through the curve, pushing the averages for longer periods higher. Ordering activity has remained high after a rush in contracting activity started late in the fourth quarter of 2025. A total of 33 LNG carriers were ordered during the quarter, the highest on a quarterly basis since the fourth quarter of 2022. This contracting rise reflects confidence within the shipping industry that the liquefaction projects scheduled to come on stream before 2030 will require an increase in shipping capacity. Newbuild LNG carrier pricing has increased to over $250.0 million for a base specification vessel.</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quarter-end, 296 LNG carriers were on order, with 20 vessels delivered during the first quarter of 2026. Of the total orderbook, analysts estimate that only 36 vessels (or 12.1%) remain without committed employment, six of which are controlled by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LPG Market Update</w:t>
      </w:r>
    </w:p>
    <w:p>
      <w:pPr>
        <w:spacing w:after="0" w:line="80" w:lineRule="exact"/>
        <w:rPr>
          <w:sz w:val="20"/>
          <w:szCs w:val="20"/>
          <w:color w:val="auto"/>
        </w:rPr>
      </w:pPr>
    </w:p>
    <w:p>
      <w:pPr>
        <w:ind w:right="160"/>
        <w:spacing w:after="0" w:line="231" w:lineRule="exact"/>
        <w:rPr>
          <w:sz w:val="20"/>
          <w:szCs w:val="20"/>
          <w:color w:val="auto"/>
        </w:rPr>
      </w:pPr>
      <w:r>
        <w:rPr>
          <w:rFonts w:ascii="Times New Roman" w:cs="Times New Roman" w:eastAsia="Times New Roman" w:hAnsi="Times New Roman"/>
          <w:sz w:val="18"/>
          <w:szCs w:val="18"/>
          <w:color w:val="auto"/>
        </w:rPr>
        <w:t>CCEC controls a fleet of ten LPG/ammonia/LCO2 carriers (of which two are currently on the water) comprising four LCO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/multi-gas carriers and six dual-fuel medium gas (‘MGC’) carriers. Deliveries commenced in January 2026 with the LCO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/multi-gas carrier </w:t>
      </w:r>
      <w:r>
        <w:rPr>
          <w:rFonts w:ascii="Times New Roman" w:cs="Times New Roman" w:eastAsia="Times New Roman" w:hAnsi="Times New Roman"/>
          <w:sz w:val="18"/>
          <w:szCs w:val="18"/>
          <w:i w:val="1"/>
          <w:iCs w:val="1"/>
          <w:color w:val="auto"/>
        </w:rPr>
        <w:t>Active</w:t>
      </w:r>
      <w:r>
        <w:rPr>
          <w:rFonts w:ascii="Times New Roman" w:cs="Times New Roman" w:eastAsia="Times New Roman" w:hAnsi="Times New Roman"/>
          <w:sz w:val="18"/>
          <w:szCs w:val="18"/>
          <w:color w:val="auto"/>
        </w:rPr>
        <w:t xml:space="preserve"> (Hyundai Mipo Dockyard Co. Ltd, 22,000 cbm), which is currently trading LPG in the Atlantic Basin under a time charter. The LCO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/multi-gas carrier </w:t>
      </w:r>
      <w:r>
        <w:rPr>
          <w:rFonts w:ascii="Times New Roman" w:cs="Times New Roman" w:eastAsia="Times New Roman" w:hAnsi="Times New Roman"/>
          <w:sz w:val="18"/>
          <w:szCs w:val="18"/>
          <w:i w:val="1"/>
          <w:iCs w:val="1"/>
          <w:color w:val="auto"/>
        </w:rPr>
        <w:t>Amadeus</w:t>
      </w:r>
      <w:r>
        <w:rPr>
          <w:rFonts w:ascii="Times New Roman" w:cs="Times New Roman" w:eastAsia="Times New Roman" w:hAnsi="Times New Roman"/>
          <w:sz w:val="18"/>
          <w:szCs w:val="18"/>
          <w:color w:val="auto"/>
        </w:rPr>
        <w:t xml:space="preserve"> (Hyundai Mipo Dockyard Co. Ltd, 22,000 cbm) joined the fleet on April 30th and is expected to trade in the short to medium time charter LPG/ammonia market.</w:t>
      </w:r>
    </w:p>
    <w:p>
      <w:pPr>
        <w:spacing w:after="0" w:line="20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Market conditions across both the MGC and Handy segments continued to demonstrate strong underlying fundamentals. Resilient demand, combined with operational flexibility, resulted in improved charter rates.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MGC segment remained structurally tight throughout the first quarter of 2026, as strong demand from traders seeking to secure time charter coverage absorbed virtually all available tonnage in the Atlantic Basin. This scarcity supported a firm and strengthening rate environment, with relet positions commanding premiums and owners maintaining strong negotiating leverage.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Handy segment benefited from spillover strength, with vessels increasingly utilized as a critical alternative for LPG transportation, while also competing with higher-value petrochemical gas cargoes. The fleet once again demonstrated the importance of versatility, with its ability to respond to evolving trade patterns enabling optimization, increased utilization, and enhanced returns. Geopolitical disruption in the Arabian Gulf has reduced near-term market liquidity, while has also materially constraining effective global vessel supply. At the same time, ongoing disruption to global supply chains is driving new trade flows and increasing tonne-mile demand, as cargoes are rerouted, sourced from alternative origins and transported over longer distances. This structural shift continues to support vessel utilization and freight rates across LPG, ammonia and petrochemical markets. Time charter rates remained firm during the quarter, with standard semi-refrigerated handy-sized vessels assessed at approximately $30,400 per day for one-year charters, while fully refrigerated MGCs (40,000 cbm conventional) were assessed at approximately $33,200 per day.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previously announced, today, May 7, 2026, the Company will host an interactive conference call at 10:00 a.m. Eastern Time to discuss the financial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Participants should dial into the call 10 minutes before the scheduled time using the following numbers: 877 405 1226 (US Toll-Free Dial In) or +1 201 689 7823 (US and Standard International Dial In). Please quote “</w:t>
      </w:r>
      <w:r>
        <w:rPr>
          <w:rFonts w:ascii="Times New Roman" w:cs="Times New Roman" w:eastAsia="Times New Roman" w:hAnsi="Times New Roman"/>
          <w:sz w:val="18"/>
          <w:szCs w:val="18"/>
          <w:b w:val="1"/>
          <w:bCs w:val="1"/>
          <w:color w:val="auto"/>
        </w:rPr>
        <w:t>Capital Clean Energy</w:t>
      </w:r>
      <w:r>
        <w:rPr>
          <w:rFonts w:ascii="Times New Roman" w:cs="Times New Roman" w:eastAsia="Times New Roman" w:hAnsi="Times New Roman"/>
          <w:sz w:val="18"/>
          <w:szCs w:val="18"/>
          <w:color w:val="auto"/>
        </w:rPr>
        <w:t xml:space="preserve">” to the operator and/or conference ID 13759970. Click </w:t>
      </w:r>
      <w:r>
        <w:rPr>
          <w:rFonts w:ascii="Times New Roman" w:cs="Times New Roman" w:eastAsia="Times New Roman" w:hAnsi="Times New Roman"/>
          <w:sz w:val="18"/>
          <w:szCs w:val="18"/>
          <w:b w:val="1"/>
          <w:bCs w:val="1"/>
          <w:u w:val="single" w:color="auto"/>
          <w:color w:val="auto"/>
        </w:rPr>
        <w:t>here</w:t>
      </w:r>
      <w:r>
        <w:rPr>
          <w:rFonts w:ascii="Times New Roman" w:cs="Times New Roman" w:eastAsia="Times New Roman" w:hAnsi="Times New Roman"/>
          <w:sz w:val="18"/>
          <w:szCs w:val="18"/>
          <w:color w:val="auto"/>
        </w:rPr>
        <w:t xml:space="preserve"> for participant International Toll-Free access numbers.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 xml:space="preserve">Alternatively, participants can register for the call using the </w:t>
      </w:r>
      <w:r>
        <w:rPr>
          <w:rFonts w:ascii="Times New Roman" w:cs="Times New Roman" w:eastAsia="Times New Roman" w:hAnsi="Times New Roman"/>
          <w:sz w:val="18"/>
          <w:szCs w:val="18"/>
          <w:b w:val="1"/>
          <w:bCs w:val="1"/>
          <w:u w:val="single" w:color="auto"/>
          <w:color w:val="auto"/>
        </w:rPr>
        <w:t>Call Me</w:t>
      </w:r>
      <w:r>
        <w:rPr>
          <w:rFonts w:ascii="Times New Roman" w:cs="Times New Roman" w:eastAsia="Times New Roman" w:hAnsi="Times New Roman"/>
          <w:sz w:val="18"/>
          <w:szCs w:val="18"/>
          <w:color w:val="auto"/>
        </w:rPr>
        <w:t xml:space="preserve"> option for a faster connection to join the conference call. You can enter your phone number and let the system call you right away.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Slides and Audio Webcast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There will also be a live, and then archived, webcast of the conference call and accompanying slides, available through the Company’s website. To listen to the archived audio file, visit our website </w:t>
      </w:r>
      <w:r>
        <w:rPr>
          <w:rFonts w:ascii="Times New Roman" w:cs="Times New Roman" w:eastAsia="Times New Roman" w:hAnsi="Times New Roman"/>
          <w:sz w:val="18"/>
          <w:szCs w:val="18"/>
          <w:u w:val="single" w:color="auto"/>
          <w:color w:val="auto"/>
        </w:rPr>
        <w:t>http://ir.capitalcleanenergycarriers.com</w:t>
      </w:r>
      <w:r>
        <w:rPr>
          <w:rFonts w:ascii="Times New Roman" w:cs="Times New Roman" w:eastAsia="Times New Roman" w:hAnsi="Times New Roman"/>
          <w:sz w:val="18"/>
          <w:szCs w:val="18"/>
          <w:color w:val="auto"/>
        </w:rPr>
        <w:t xml:space="preserve"> and click on Webcasts &amp; Presentations under our Investor Relations page. Participants to the live webcast should register on the website approximately 10 minutes prior to the start of the webcast.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Capital Clean Energy Carriers Corp.</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Capital Clean Energy Carriers Corp. (NASDAQ: CCEC), an international shipping company, is a leading platform of gas carriage solutions with a focus on energy transition. CCEC’s in-the-water fleet includes 15 high specification vessels, including 12 latest generation LNG/Cs, one legacy Neo-Panamax container vessel, and two handy LCO2/multi-gas carriers. In addition, CCEC’s under-construction fleet includes nine additional latest generation LNG/Cs, six dual-fuel medium gas carriers and two handy LCO2/multi-gas carriers, to be delivered between the second quarter of 2026 and the first quarter of 2029.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the Company, please visit: </w:t>
      </w:r>
      <w:r>
        <w:rPr>
          <w:rFonts w:ascii="Times New Roman" w:cs="Times New Roman" w:eastAsia="Times New Roman" w:hAnsi="Times New Roman"/>
          <w:sz w:val="18"/>
          <w:szCs w:val="18"/>
          <w:u w:val="single" w:color="auto"/>
          <w:color w:val="auto"/>
        </w:rPr>
        <w:t>www.capitalcleanenergycarriers.com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statements in this press release that are not historical facts, including, among other things, statements related to CCEC’s delivery of strategic goals, ability to pursue growth opportunities and expectations or objectives regarding future vessel deliveries and share repurchase, charter rate and revenue expectations, are forward-looking statements (as such term is defined in Section 21E of the Securities Exchange Act of 1934, as amended). These forward-looking statements involve risks and uncertainties that could cause the stated or forecasted results to be materially different from those anticipated. For a discussion of factors that could materially affect the outcome of forward-looking statements and other risks and uncertainties, see “Risk Factors” in our annual report filed with the SEC on Form 20-F for the year ended December 31, 2025, filed on April 27, 2026. Unless required by law, CCEC expressly disclaims any obligation to update or revise any of these forward-looking statements, whether because of future events, new information, a change in its views or expectations, to conform them to actual results or otherwise. CCEC does not assume any responsibility for the accuracy and completeness of the forward-looking statements. You are cautioned not to place undue reliance on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Details: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Media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Gallagher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(770) 368 4996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b.gallagher@capitalmaritime.com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Bornozis/Markella Kara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Link, Inc.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+1-212-661-7566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ccec@capitallink.com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66"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Clean Energy Carriers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number of shares and earnings per share)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9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three-month periods ended March 31,</w:t>
            </w:r>
          </w:p>
        </w:tc>
      </w:tr>
      <w:tr>
        <w:trPr>
          <w:trHeight w:val="173"/>
        </w:trPr>
        <w:tc>
          <w:tcPr>
            <w:tcW w:w="4480" w:type="dxa"/>
            <w:vAlign w:val="bottom"/>
          </w:tcPr>
          <w:p>
            <w:pPr>
              <w:spacing w:after="0"/>
              <w:rPr>
                <w:sz w:val="15"/>
                <w:szCs w:val="15"/>
                <w:color w:val="auto"/>
              </w:rPr>
            </w:pPr>
          </w:p>
        </w:tc>
        <w:tc>
          <w:tcPr>
            <w:tcW w:w="4860" w:type="dxa"/>
            <w:vAlign w:val="bottom"/>
            <w:gridSpan w:val="2"/>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3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5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98,009</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102,037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5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19,566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14,001</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expenses - related parties</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3,465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4,129</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depreciation and amortization</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22,657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21,769</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net</w:t>
            </w:r>
          </w:p>
        </w:tc>
        <w:tc>
          <w:tcPr>
            <w:tcW w:w="35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43,677</w:t>
            </w:r>
          </w:p>
        </w:tc>
        <w:tc>
          <w:tcPr>
            <w:tcW w:w="26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58,790</w:t>
            </w:r>
          </w:p>
        </w:tc>
        <w:tc>
          <w:tcPr>
            <w:tcW w:w="12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 income, net:</w:t>
            </w:r>
          </w:p>
        </w:tc>
        <w:tc>
          <w:tcPr>
            <w:tcW w:w="3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finance cost</w:t>
            </w:r>
          </w:p>
        </w:tc>
        <w:tc>
          <w:tcPr>
            <w:tcW w:w="5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(23,034)</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(27,769)</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 income, net</w:t>
            </w:r>
          </w:p>
        </w:tc>
        <w:tc>
          <w:tcPr>
            <w:tcW w:w="5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(2,374)</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1,648</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35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(25,408)</w:t>
            </w:r>
          </w:p>
        </w:tc>
        <w:tc>
          <w:tcPr>
            <w:tcW w:w="26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(26,121)</w:t>
            </w:r>
          </w:p>
        </w:tc>
        <w:tc>
          <w:tcPr>
            <w:tcW w:w="12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18,269</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32,669</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35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3,765</w:t>
            </w:r>
          </w:p>
        </w:tc>
        <w:tc>
          <w:tcPr>
            <w:tcW w:w="26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48,048</w:t>
            </w:r>
          </w:p>
        </w:tc>
        <w:tc>
          <w:tcPr>
            <w:tcW w:w="12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operations</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22,034</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80,717</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unvested shares</w:t>
            </w:r>
          </w:p>
        </w:tc>
        <w:tc>
          <w:tcPr>
            <w:tcW w:w="35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22,034</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79,299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 per:</w:t>
            </w:r>
          </w:p>
        </w:tc>
        <w:tc>
          <w:tcPr>
            <w:tcW w:w="3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Common shares, basic and diluted</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0.30</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0.55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3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Common shares, basic</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59,984,836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58,717,313</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Common shares, diluted</w:t>
            </w:r>
          </w:p>
        </w:tc>
        <w:tc>
          <w:tcPr>
            <w:tcW w:w="5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60,121,845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58,717,313</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 per:</w:t>
            </w:r>
          </w:p>
        </w:tc>
        <w:tc>
          <w:tcPr>
            <w:tcW w:w="3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Common shares, basic and diluted</w:t>
            </w:r>
          </w:p>
        </w:tc>
        <w:tc>
          <w:tcPr>
            <w:tcW w:w="5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0.80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3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Common shares, basic</w:t>
            </w:r>
          </w:p>
        </w:tc>
        <w:tc>
          <w:tcPr>
            <w:tcW w:w="5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59,984,836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58,717,313</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Common shares, diluted</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60,121,845</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58,717,313</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operations per:</w:t>
            </w:r>
          </w:p>
        </w:tc>
        <w:tc>
          <w:tcPr>
            <w:tcW w:w="3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Common shares, basic and diluted</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0.37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3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Common shares, basic</w:t>
            </w:r>
          </w:p>
        </w:tc>
        <w:tc>
          <w:tcPr>
            <w:tcW w:w="5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59,984,836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58,717,313</w:t>
            </w: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Common shares, diluted</w:t>
            </w:r>
          </w:p>
        </w:tc>
        <w:tc>
          <w:tcPr>
            <w:tcW w:w="5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60,121,845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58,717,313</w:t>
            </w:r>
          </w:p>
        </w:tc>
      </w:tr>
      <w:tr>
        <w:trPr>
          <w:trHeight w:val="342"/>
        </w:trPr>
        <w:tc>
          <w:tcPr>
            <w:tcW w:w="4480" w:type="dxa"/>
            <w:vAlign w:val="bottom"/>
          </w:tcPr>
          <w:p>
            <w:pPr>
              <w:spacing w:after="0"/>
              <w:rPr>
                <w:sz w:val="24"/>
                <w:szCs w:val="24"/>
                <w:color w:val="auto"/>
              </w:rPr>
            </w:pPr>
          </w:p>
        </w:tc>
        <w:tc>
          <w:tcPr>
            <w:tcW w:w="3580" w:type="dxa"/>
            <w:vAlign w:val="bottom"/>
          </w:tcPr>
          <w:p>
            <w:pPr>
              <w:jc w:val="right"/>
              <w:ind w:right="2371"/>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Clean Energy Carriers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525,309</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273,843</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7,021</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7,024</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12,852</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8,437</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4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8,283</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7,437</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3,984</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3,982</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Claims</w:t>
            </w:r>
          </w:p>
        </w:tc>
        <w:tc>
          <w:tcPr>
            <w:tcW w:w="4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1,044</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1,203</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124,238</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4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559,696</w:t>
            </w:r>
          </w:p>
        </w:tc>
        <w:tc>
          <w:tcPr>
            <w:tcW w:w="80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426,005</w:t>
            </w:r>
          </w:p>
        </w:tc>
        <w:tc>
          <w:tcPr>
            <w:tcW w:w="60" w:type="dxa"/>
            <w:vAlign w:val="bottom"/>
          </w:tcPr>
          <w:p>
            <w:pPr>
              <w:spacing w:after="0"/>
              <w:rPr>
                <w:sz w:val="20"/>
                <w:szCs w:val="20"/>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2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Advances for vessels under construction - related party</w:t>
            </w:r>
          </w:p>
        </w:tc>
        <w:tc>
          <w:tcPr>
            <w:tcW w:w="4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54,000</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54,000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 net and vessels under construction</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3,589,091</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3,516,778</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fixed assets</w:t>
            </w:r>
          </w:p>
        </w:tc>
        <w:tc>
          <w:tcPr>
            <w:tcW w:w="264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3,643,091</w:t>
            </w:r>
          </w:p>
        </w:tc>
        <w:tc>
          <w:tcPr>
            <w:tcW w:w="80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3,570,778</w:t>
            </w:r>
          </w:p>
        </w:tc>
        <w:tc>
          <w:tcPr>
            <w:tcW w:w="60" w:type="dxa"/>
            <w:vAlign w:val="bottom"/>
          </w:tcPr>
          <w:p>
            <w:pPr>
              <w:spacing w:after="0"/>
              <w:rPr>
                <w:sz w:val="20"/>
                <w:szCs w:val="20"/>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Above market acquired charters</w:t>
            </w:r>
          </w:p>
        </w:tc>
        <w:tc>
          <w:tcPr>
            <w:tcW w:w="4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58,029</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66,597</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charges, net</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5,388</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3,483</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14,022</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14,023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11,037</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13,682</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6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3,734,014</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3,669,109</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4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4,293,710</w:t>
            </w:r>
          </w:p>
        </w:tc>
        <w:tc>
          <w:tcPr>
            <w:tcW w:w="80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4,095,114</w:t>
            </w:r>
          </w:p>
        </w:tc>
        <w:tc>
          <w:tcPr>
            <w:tcW w:w="60" w:type="dxa"/>
            <w:vAlign w:val="bottom"/>
          </w:tcPr>
          <w:p>
            <w:pPr>
              <w:spacing w:after="0"/>
              <w:rPr>
                <w:sz w:val="20"/>
                <w:szCs w:val="20"/>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289,489</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122,144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4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20,728</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11,129</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4,542</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5,607</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47,915</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37,717</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25,792</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29,413</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6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8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103,514</w:t>
            </w:r>
          </w:p>
        </w:tc>
        <w:tc>
          <w:tcPr>
            <w:tcW w:w="6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401,269</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309,524</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6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2,313,453</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2,232,193</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Below market acquired charters</w:t>
            </w:r>
          </w:p>
        </w:tc>
        <w:tc>
          <w:tcPr>
            <w:tcW w:w="4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50,492</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53,531</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435</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6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8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2,375,812</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2,286,223</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4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2,777,081</w:t>
            </w:r>
          </w:p>
        </w:tc>
        <w:tc>
          <w:tcPr>
            <w:tcW w:w="80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2,595,747</w:t>
            </w:r>
          </w:p>
        </w:tc>
        <w:tc>
          <w:tcPr>
            <w:tcW w:w="60" w:type="dxa"/>
            <w:vAlign w:val="bottom"/>
          </w:tcPr>
          <w:p>
            <w:pPr>
              <w:spacing w:after="0"/>
              <w:rPr>
                <w:sz w:val="20"/>
                <w:szCs w:val="20"/>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7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1,516,629</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1,499,367</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6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4,293,710</w:t>
            </w:r>
          </w:p>
        </w:tc>
        <w:tc>
          <w:tcPr>
            <w:tcW w:w="8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4,095,114</w:t>
            </w:r>
          </w:p>
        </w:tc>
        <w:tc>
          <w:tcPr>
            <w:tcW w:w="60" w:type="dxa"/>
            <w:vAlign w:val="bottom"/>
          </w:tcPr>
          <w:p>
            <w:pPr>
              <w:spacing w:after="0"/>
              <w:rPr>
                <w:sz w:val="19"/>
                <w:szCs w:val="19"/>
                <w:color w:val="auto"/>
              </w:rPr>
            </w:pPr>
          </w:p>
        </w:tc>
      </w:tr>
      <w:tr>
        <w:trPr>
          <w:trHeight w:val="372"/>
        </w:trPr>
        <w:tc>
          <w:tcPr>
            <w:tcW w:w="4680" w:type="dxa"/>
            <w:vAlign w:val="bottom"/>
          </w:tcPr>
          <w:p>
            <w:pPr>
              <w:spacing w:after="0"/>
              <w:rPr>
                <w:sz w:val="24"/>
                <w:szCs w:val="24"/>
                <w:color w:val="auto"/>
              </w:rPr>
            </w:pPr>
          </w:p>
        </w:tc>
        <w:tc>
          <w:tcPr>
            <w:tcW w:w="26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Clean Energy Carriers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17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three-month</w:t>
            </w:r>
          </w:p>
        </w:tc>
      </w:tr>
      <w:tr>
        <w:trPr>
          <w:trHeight w:val="148"/>
        </w:trPr>
        <w:tc>
          <w:tcPr>
            <w:tcW w:w="9320" w:type="dxa"/>
            <w:vAlign w:val="bottom"/>
          </w:tcPr>
          <w:p>
            <w:pPr>
              <w:spacing w:after="0"/>
              <w:rPr>
                <w:sz w:val="12"/>
                <w:szCs w:val="12"/>
                <w:color w:val="auto"/>
              </w:rPr>
            </w:pPr>
          </w:p>
        </w:tc>
        <w:tc>
          <w:tcPr>
            <w:tcW w:w="170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periods ended March 31,</w:t>
            </w:r>
          </w:p>
        </w:tc>
      </w:tr>
      <w:tr>
        <w:trPr>
          <w:trHeight w:val="173"/>
        </w:trPr>
        <w:tc>
          <w:tcPr>
            <w:tcW w:w="93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 of continuing operations: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operations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22,034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80,717</w:t>
            </w:r>
          </w:p>
        </w:tc>
      </w:tr>
      <w:tr>
        <w:trPr>
          <w:trHeight w:val="27"/>
        </w:trPr>
        <w:tc>
          <w:tcPr>
            <w:tcW w:w="9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from discontinued operations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48,048</w:t>
            </w: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32,669</w:t>
            </w:r>
          </w:p>
        </w:tc>
        <w:tc>
          <w:tcPr>
            <w:tcW w:w="120" w:type="dxa"/>
            <w:vAlign w:val="bottom"/>
          </w:tcPr>
          <w:p>
            <w:pPr>
              <w:spacing w:after="0"/>
              <w:rPr>
                <w:sz w:val="20"/>
                <w:szCs w:val="20"/>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Vessel depreciation and amortization</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22,657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21,769</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write-off of deferred financing costs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 accretion of above / below market acquired charters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5,402</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ineffective portion of derivatives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expense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(6,594)</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bonds exchange differences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6,325</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 forward contracts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1,956</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cash, cash equivalents and restricted cash exchange differences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(1,538)</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party</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2,223</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(4,433)</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(3,387)</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Dry docking - paid</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9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of continuing operations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49,148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54,738</w:t>
            </w: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of continuing operations:</w:t>
            </w: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acquisitions, vessels under construction and improvements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(94,855)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(51,027)</w:t>
            </w: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of continuing operations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(94,855)</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(51,027)</w:t>
            </w:r>
          </w:p>
        </w:tc>
        <w:tc>
          <w:tcPr>
            <w:tcW w:w="120" w:type="dxa"/>
            <w:vAlign w:val="bottom"/>
          </w:tcPr>
          <w:p>
            <w:pPr>
              <w:spacing w:after="0"/>
              <w:rPr>
                <w:sz w:val="19"/>
                <w:szCs w:val="19"/>
                <w:color w:val="auto"/>
              </w:rPr>
            </w:pPr>
          </w:p>
        </w:tc>
      </w:tr>
      <w:tr>
        <w:trPr>
          <w:trHeight w:val="372"/>
        </w:trPr>
        <w:tc>
          <w:tcPr>
            <w:tcW w:w="932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of continuing operations: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299,604</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 paid</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long-term debt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(31,074)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(30,107)</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offering costs paid</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(8,996)</w:t>
            </w:r>
          </w:p>
        </w:tc>
      </w:tr>
      <w:tr>
        <w:trPr>
          <w:trHeight w:val="27"/>
        </w:trPr>
        <w:tc>
          <w:tcPr>
            <w:tcW w:w="9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 (used in) financing activities of continuing operations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264,637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(39,308)</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 (decrease) in cash, cash equivalents and restricted cash from continuing operations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218,930</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(35,597)</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discontinued operations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2,382</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119,694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120,683</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(84,375)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(2,893)</w:t>
            </w:r>
          </w:p>
        </w:tc>
      </w:tr>
      <w:tr>
        <w:trPr>
          <w:trHeight w:val="27"/>
        </w:trPr>
        <w:tc>
          <w:tcPr>
            <w:tcW w:w="9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 from discontinued operations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36,089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120,172</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255,019</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84,575</w:t>
            </w:r>
          </w:p>
        </w:tc>
        <w:tc>
          <w:tcPr>
            <w:tcW w:w="120" w:type="dxa"/>
            <w:vAlign w:val="bottom"/>
          </w:tcPr>
          <w:p>
            <w:pPr>
              <w:spacing w:after="0"/>
              <w:rPr>
                <w:sz w:val="19"/>
                <w:szCs w:val="19"/>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294,890</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335,175</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546,352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419,750</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20,396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27,117</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included in liabilities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3,992</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and offering costs included in liabilities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dry-docking costs included in liabilities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3,129</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Expenses for sale of vessels included in liabilities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8,428</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reinvestment plan issuance of new shares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525,309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398,221</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current assets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 assets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21,529</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 statements of cash flows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546,352</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419,750</w:t>
            </w:r>
          </w:p>
        </w:tc>
        <w:tc>
          <w:tcPr>
            <w:tcW w:w="120" w:type="dxa"/>
            <w:vAlign w:val="bottom"/>
          </w:tcPr>
          <w:p>
            <w:pPr>
              <w:spacing w:after="0"/>
              <w:rPr>
                <w:sz w:val="19"/>
                <w:szCs w:val="19"/>
                <w:color w:val="auto"/>
              </w:rPr>
            </w:pPr>
          </w:p>
        </w:tc>
      </w:tr>
      <w:tr>
        <w:trPr>
          <w:trHeight w:val="372"/>
        </w:trPr>
        <w:tc>
          <w:tcPr>
            <w:tcW w:w="94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88"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Appendix A</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Discontinued Operations - Vessels</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67"/>
        </w:trPr>
        <w:tc>
          <w:tcPr>
            <w:tcW w:w="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Memorandum of</w:t>
            </w:r>
          </w:p>
        </w:tc>
        <w:tc>
          <w:tcPr>
            <w:tcW w:w="1660" w:type="dxa"/>
            <w:vAlign w:val="bottom"/>
          </w:tcPr>
          <w:p>
            <w:pPr>
              <w:spacing w:after="0"/>
              <w:rPr>
                <w:sz w:val="24"/>
                <w:szCs w:val="24"/>
                <w:color w:val="auto"/>
              </w:rPr>
            </w:pPr>
          </w:p>
        </w:tc>
      </w:tr>
      <w:tr>
        <w:trPr>
          <w:trHeight w:val="187"/>
        </w:trPr>
        <w:tc>
          <w:tcPr>
            <w:tcW w:w="3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Vessel</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TEU</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Agreement Date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r>
      <w:tr>
        <w:trPr>
          <w:trHeight w:val="209"/>
        </w:trPr>
        <w:tc>
          <w:tcPr>
            <w:tcW w:w="3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M/V Akadimos</w:t>
            </w:r>
          </w:p>
        </w:tc>
        <w:tc>
          <w:tcPr>
            <w:tcW w:w="2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31, 2024</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M/V Long Beach Express</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Panamax Container Vessel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15, 2023</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2024</w:t>
            </w:r>
          </w:p>
        </w:tc>
      </w:tr>
      <w:tr>
        <w:trPr>
          <w:trHeight w:val="216"/>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M/V Seattle Express</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Panamax Container Vessel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February 14,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26, 2024</w:t>
            </w: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M/V Fos Express</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Panamax Container Vessel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February 14,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3, 2024</w:t>
            </w:r>
          </w:p>
        </w:tc>
      </w:tr>
      <w:tr>
        <w:trPr>
          <w:trHeight w:val="216"/>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M/V Athenian</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1,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M/V Athos</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1,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r>
      <w:tr>
        <w:trPr>
          <w:trHeight w:val="216"/>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M/V Aristomenis</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1,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3, 2024</w:t>
            </w: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M/V Hyundai Premium</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22, 2024</w:t>
            </w:r>
          </w:p>
        </w:tc>
      </w:tr>
      <w:tr>
        <w:trPr>
          <w:trHeight w:val="216"/>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M/V Hyundai Paramount</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 2024</w:t>
            </w: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M/V Hyundai Prestige</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5, 2024</w:t>
            </w:r>
          </w:p>
        </w:tc>
      </w:tr>
      <w:tr>
        <w:trPr>
          <w:trHeight w:val="216"/>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M/V Hyundai Privilege</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10, 2025</w:t>
            </w: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M/V Hyundai Platinum</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216"/>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M/V Manzanillo Express</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13,312</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7, 2025</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6, 2025</w:t>
            </w:r>
          </w:p>
        </w:tc>
      </w:tr>
      <w:tr>
        <w:trPr>
          <w:trHeight w:val="234"/>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M/V Buenaventura Express</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Neo Panamax Container Vessel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13,696</w:t>
            </w:r>
          </w:p>
        </w:tc>
        <w:tc>
          <w:tcPr>
            <w:tcW w:w="100" w:type="dxa"/>
            <w:vAlign w:val="bottom"/>
          </w:tcPr>
          <w:p>
            <w:pPr>
              <w:spacing w:after="0"/>
              <w:rPr>
                <w:sz w:val="20"/>
                <w:szCs w:val="20"/>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29, 2025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19, 2026</w:t>
            </w:r>
          </w:p>
        </w:tc>
      </w:tr>
    </w:tbl>
    <w:p>
      <w:pPr>
        <w:spacing w:after="0" w:line="324" w:lineRule="exact"/>
        <w:rPr>
          <w:sz w:val="20"/>
          <w:szCs w:val="20"/>
          <w:color w:val="auto"/>
        </w:rPr>
      </w:pPr>
    </w:p>
    <w:p>
      <w:pPr>
        <w:ind w:left="444" w:right="2820" w:hanging="444"/>
        <w:spacing w:after="0" w:line="286" w:lineRule="auto"/>
        <w:tabs>
          <w:tab w:leader="none" w:pos="43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 - Unaudited Condensed Consolidated Statements of Comprehensive Income (In thousands of United States Dollars)</w:t>
      </w:r>
    </w:p>
    <w:p>
      <w:pPr>
        <w:spacing w:after="0" w:line="167"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3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three-month periods ended March 31,</w:t>
            </w:r>
          </w:p>
        </w:tc>
      </w:tr>
      <w:tr>
        <w:trPr>
          <w:trHeight w:val="173"/>
        </w:trPr>
        <w:tc>
          <w:tcPr>
            <w:tcW w:w="3620" w:type="dxa"/>
            <w:vAlign w:val="bottom"/>
          </w:tcPr>
          <w:p>
            <w:pPr>
              <w:spacing w:after="0"/>
              <w:rPr>
                <w:sz w:val="15"/>
                <w:szCs w:val="15"/>
                <w:color w:val="auto"/>
              </w:rPr>
            </w:pPr>
          </w:p>
        </w:tc>
        <w:tc>
          <w:tcPr>
            <w:tcW w:w="2500" w:type="dxa"/>
            <w:vAlign w:val="bottom"/>
            <w:gridSpan w:val="2"/>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Pr>
          <w:p>
            <w:pPr>
              <w:spacing w:after="0"/>
              <w:rPr>
                <w:sz w:val="15"/>
                <w:szCs w:val="15"/>
                <w:color w:val="auto"/>
              </w:rPr>
            </w:pPr>
          </w:p>
        </w:tc>
        <w:tc>
          <w:tcPr>
            <w:tcW w:w="13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8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 / (income), net:</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w:t>
            </w:r>
          </w:p>
        </w:tc>
        <w:tc>
          <w:tcPr>
            <w:tcW w:w="33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18</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332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24</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2,372</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expenses - related party</w:t>
            </w:r>
          </w:p>
        </w:tc>
        <w:tc>
          <w:tcPr>
            <w:tcW w:w="33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Vessel depreciation and amortization</w:t>
            </w:r>
          </w:p>
        </w:tc>
        <w:tc>
          <w:tcPr>
            <w:tcW w:w="142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2,426</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vessels</w:t>
            </w:r>
          </w:p>
        </w:tc>
        <w:tc>
          <w:tcPr>
            <w:tcW w:w="33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(4,171)</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(46,213)</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net</w:t>
            </w:r>
          </w:p>
        </w:tc>
        <w:tc>
          <w:tcPr>
            <w:tcW w:w="14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4,835</w:t>
            </w:r>
          </w:p>
        </w:tc>
        <w:tc>
          <w:tcPr>
            <w:tcW w:w="8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50,734</w:t>
            </w:r>
          </w:p>
        </w:tc>
        <w:tc>
          <w:tcPr>
            <w:tcW w:w="100" w:type="dxa"/>
            <w:vAlign w:val="bottom"/>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 income, net:</w:t>
            </w: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finance cost</w:t>
            </w:r>
          </w:p>
        </w:tc>
        <w:tc>
          <w:tcPr>
            <w:tcW w:w="33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(1,074)</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(2,955)</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3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4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w:t>
            </w:r>
          </w:p>
        </w:tc>
        <w:tc>
          <w:tcPr>
            <w:tcW w:w="8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(2,686)</w:t>
            </w:r>
          </w:p>
        </w:tc>
        <w:tc>
          <w:tcPr>
            <w:tcW w:w="100" w:type="dxa"/>
            <w:vAlign w:val="bottom"/>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33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3,765</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48,048</w:t>
            </w:r>
          </w:p>
        </w:tc>
      </w:tr>
      <w:tr>
        <w:trPr>
          <w:trHeight w:val="372"/>
        </w:trPr>
        <w:tc>
          <w:tcPr>
            <w:tcW w:w="3620" w:type="dxa"/>
            <w:vAlign w:val="bottom"/>
          </w:tcPr>
          <w:p>
            <w:pPr>
              <w:spacing w:after="0"/>
              <w:rPr>
                <w:sz w:val="24"/>
                <w:szCs w:val="24"/>
                <w:color w:val="auto"/>
              </w:rPr>
            </w:pPr>
          </w:p>
        </w:tc>
        <w:tc>
          <w:tcPr>
            <w:tcW w:w="14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4"/>
          </w:cols>
          <w:pgMar w:left="436" w:top="266" w:right="439" w:bottom="1440" w:gutter="0" w:footer="0" w:header="0"/>
        </w:sectPr>
      </w:pPr>
    </w:p>
    <w:bookmarkStart w:id="17" w:name="page18"/>
    <w:bookmarkEnd w:id="17"/>
    <w:p>
      <w:pPr>
        <w:ind w:left="444"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three-month period ended March 31, 2026, the Company disposed of the M/V Buenaventura Express recognizing a gain on sale of vessel of $4.2 million.</w:t>
      </w:r>
    </w:p>
    <w:p>
      <w:pPr>
        <w:spacing w:after="0" w:line="185" w:lineRule="exact"/>
        <w:rPr>
          <w:sz w:val="20"/>
          <w:szCs w:val="20"/>
          <w:color w:val="auto"/>
        </w:rPr>
      </w:pPr>
    </w:p>
    <w:p>
      <w:pPr>
        <w:ind w:left="444" w:right="4060" w:hanging="444"/>
        <w:spacing w:after="0" w:line="286" w:lineRule="auto"/>
        <w:tabs>
          <w:tab w:leader="none" w:pos="43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 - Unaudited Condensed selected balance sheets information (In thousands of United States Dollars)</w:t>
      </w:r>
    </w:p>
    <w:p>
      <w:pPr>
        <w:spacing w:after="0" w:line="179"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8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c>
          <w:tcPr>
            <w:tcW w:w="8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Claims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18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122,212</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 of discontinued operations</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124,238</w:t>
            </w:r>
          </w:p>
        </w:tc>
        <w:tc>
          <w:tcPr>
            <w:tcW w:w="4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4,065</w:t>
            </w:r>
          </w:p>
        </w:tc>
        <w:tc>
          <w:tcPr>
            <w:tcW w:w="8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8,738</w:t>
            </w:r>
          </w:p>
        </w:tc>
        <w:tc>
          <w:tcPr>
            <w:tcW w:w="8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associated with vessel held for sale</w:t>
            </w:r>
          </w:p>
        </w:tc>
        <w:tc>
          <w:tcPr>
            <w:tcW w:w="218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92,051</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 of discontinued operations</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12,803</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103,514</w:t>
            </w:r>
          </w:p>
        </w:tc>
        <w:tc>
          <w:tcPr>
            <w:tcW w:w="40" w:type="dxa"/>
            <w:vAlign w:val="bottom"/>
          </w:tcPr>
          <w:p>
            <w:pPr>
              <w:spacing w:after="0"/>
              <w:rPr>
                <w:sz w:val="19"/>
                <w:szCs w:val="19"/>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October 29, 2025, the Company entered into an MOA, to sell the M/V Buenaventura Express to an unaffiliated party for total consideration of</w:t>
      </w:r>
    </w:p>
    <w:p>
      <w:pPr>
        <w:spacing w:after="0" w:line="2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$120,100. At that date, the Company considered that the M/V </w:t>
      </w:r>
      <w:r>
        <w:rPr>
          <w:rFonts w:ascii="Times New Roman" w:cs="Times New Roman" w:eastAsia="Times New Roman" w:hAnsi="Times New Roman"/>
          <w:sz w:val="18"/>
          <w:szCs w:val="18"/>
          <w:i w:val="1"/>
          <w:iCs w:val="1"/>
          <w:color w:val="auto"/>
        </w:rPr>
        <w:t>Buenaventura Express</w:t>
      </w:r>
      <w:r>
        <w:rPr>
          <w:rFonts w:ascii="Times New Roman" w:cs="Times New Roman" w:eastAsia="Times New Roman" w:hAnsi="Times New Roman"/>
          <w:sz w:val="18"/>
          <w:szCs w:val="18"/>
          <w:color w:val="auto"/>
        </w:rPr>
        <w:t xml:space="preserve"> met the criteria to be classified as held for sale and is included in “Current assets from discontinued operations” in the summarized unaudited condensed selected balance sheet information from discontinued operations as of December 31, 2025. As of the MOA date, the M/V Buenaventura Express fair value less estimated costs to sell exceeded its carrying amount, so no impairment charge was recognized. The vessel was delivered to its new owner on January 19, 2026.</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upperLetter"/>
      <w:start w:val="35"/>
    </w:lvl>
  </w:abstractNum>
  <w:abstractNum w:abstractNumId="3">
    <w:nsid w:val="625558EC"/>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2026-05-11T16:02:39Z</dcterms:created>
  <dcterms:modified xsi:type="dcterms:W3CDTF">2026-05-11T16:02:39Z</dcterms:modified>
</cp:coreProperties>
</file>