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4403d6k.htm"/>
      <w:bookmarkStart w:id="1" w:name="ksd10440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001-33373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CAPITAL CLEAN ENERGY CARRIERS CORP.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 Iassonos Street </w:t>
      </w:r>
    </w:p>
    <w:p>
      <w:pPr>
        <w:pStyle w:val="TextBody"/>
        <w:bidi w:val="0"/>
        <w:spacing w:before="0" w:after="0"/>
        <w:jc w:val="center"/>
        <w:rPr>
          <w:rFonts w:ascii="Times New Roman" w:hAnsi="Times New Roman"/>
          <w:b/>
          <w:sz w:val="20"/>
        </w:rPr>
      </w:pPr>
      <w:r>
        <w:rPr>
          <w:rFonts w:ascii="Times New Roman" w:hAnsi="Times New Roman"/>
          <w:b/>
          <w:sz w:val="20"/>
        </w:rPr>
        <w:t xml:space="preserve">Piraeus, 18537 Greece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On August 7, 2026, Capital Clean Energy Carriers Corp. (the “</w:t>
      </w:r>
      <w:r>
        <w:rPr>
          <w:rFonts w:ascii="Times New Roman" w:hAnsi="Times New Roman"/>
          <w:sz w:val="20"/>
          <w:u w:val="single"/>
        </w:rPr>
        <w:t>Corporation</w:t>
      </w:r>
      <w:r>
        <w:rPr>
          <w:rFonts w:ascii="Times New Roman" w:hAnsi="Times New Roman"/>
          <w:sz w:val="20"/>
        </w:rPr>
        <w:t xml:space="preserve">”) issued a press release announcing an annual meeting of shareholders, which is attached as </w:t>
      </w:r>
      <w:hyperlink w:anchor="d104403dex99i.htm">
        <w:r>
          <w:rPr>
            <w:rStyle w:val="InternetLink"/>
            <w:rFonts w:ascii="Times New Roman" w:hAnsi="Times New Roman"/>
            <w:sz w:val="20"/>
          </w:rPr>
          <w:t>Exhibit I</w:t>
        </w:r>
      </w:hyperlink>
      <w:r>
        <w:rPr>
          <w:rFonts w:ascii="Times New Roman" w:hAnsi="Times New Roman"/>
          <w:sz w:val="20"/>
        </w:rPr>
        <w:t xml:space="preserve">. </w:t>
      </w:r>
    </w:p>
    <w:p>
      <w:pPr>
        <w:pStyle w:val="TextBody"/>
        <w:bidi w:val="0"/>
        <w:spacing w:before="240" w:after="0"/>
        <w:jc w:val="left"/>
        <w:rPr/>
      </w:pPr>
      <w:r>
        <w:rPr>
          <w:rFonts w:ascii="Times New Roman" w:hAnsi="Times New Roman"/>
          <w:sz w:val="20"/>
        </w:rPr>
        <w:t xml:space="preserve">Attached as </w:t>
      </w:r>
      <w:hyperlink w:anchor="d104403dex99ii.htm">
        <w:r>
          <w:rPr>
            <w:rStyle w:val="InternetLink"/>
            <w:rFonts w:ascii="Times New Roman" w:hAnsi="Times New Roman"/>
            <w:sz w:val="20"/>
          </w:rPr>
          <w:t>Exhibit II</w:t>
        </w:r>
      </w:hyperlink>
      <w:r>
        <w:rPr>
          <w:rFonts w:ascii="Times New Roman" w:hAnsi="Times New Roman"/>
          <w:sz w:val="20"/>
        </w:rPr>
        <w:t xml:space="preserve"> are a cover letter to the shareholders of the Corporation, formal notice of annual meeting of shareholders and proxy statement, each dated August 7, 2026. </w:t>
      </w:r>
    </w:p>
    <w:p>
      <w:pPr>
        <w:pStyle w:val="TextBody"/>
        <w:bidi w:val="0"/>
        <w:spacing w:before="240" w:after="0"/>
        <w:jc w:val="left"/>
        <w:rPr/>
      </w:pPr>
      <w:r>
        <w:rPr>
          <w:rFonts w:ascii="Times New Roman" w:hAnsi="Times New Roman"/>
          <w:sz w:val="20"/>
        </w:rPr>
        <w:t xml:space="preserve">Attached as </w:t>
      </w:r>
      <w:hyperlink w:anchor="d104403dex99iii.htm">
        <w:r>
          <w:rPr>
            <w:rStyle w:val="InternetLink"/>
            <w:rFonts w:ascii="Times New Roman" w:hAnsi="Times New Roman"/>
            <w:sz w:val="20"/>
          </w:rPr>
          <w:t>Exhibit III</w:t>
        </w:r>
      </w:hyperlink>
      <w:r>
        <w:rPr>
          <w:rFonts w:ascii="Times New Roman" w:hAnsi="Times New Roman"/>
          <w:sz w:val="20"/>
        </w:rPr>
        <w:t xml:space="preserve"> is the Proxy Card for the 2026 annual meeting of shareholders of the Corporation for holders of its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Nomination of Ms. Janet DiFiore to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On August 7, 2026, the Corporation also announced that Mr. Gurpal Grewal has determined not to stand for re-election at the annual meeting of shareholders of the Corporation. To fill the seat vacated by Mr. Gurpal Grewal, Ms. Janet DiFiore has been nominated by the Nominating Committee of the Board of Directors and the Board of Directors for election to serve as Director from the upcoming annual meeting of shareholders until the 2027 annual meeting of shareholders or until a successor is duly elected and qualified or until her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Janet DiFiore has 40 years of experience as a prosecutor, trial lawyer, trial judge and appellate judge, and has held senior leadership and executive positions in the public sector for more than 25 years. Ms. DiFiore began her career as an Assistant District Attorney in the Westchester County District Attorney’s Office and later returned to that office as Chief of the Narcotics Bureau. In 1998, she was elected to the Westchester County Court, and in 2002 she was elected a Justice of the New York State Supreme Court for the 9th Judicial District, where she subsequently served as Supervising Judge of the Criminal Courts. In 2005, she was elected District Attorney of Westchester County and was reelected in 2009 and 2013. She has also served as President of the New York State District Attorneys Association and as Chair of the New York State Joint Commission on Public Ethics. On December 1, 2015, Ms. DiFiore was appointed Chief Judge of the New York Court of Appeals and the State of New York and, after unanimous confirmation by the New York State Senate in January 2016, she served in that role until her retirement from government service in 2022. She is a recipient of the Deming Cup awarded by Columbia Business School. Judge DiFiore holds a B.A. from C.W. Post College, Long Island University and a J.D. from St. John’s University School of Law. </w:t>
      </w:r>
    </w:p>
    <w:p>
      <w:pPr>
        <w:pStyle w:val="TextBody"/>
        <w:bidi w:val="0"/>
        <w:spacing w:before="240" w:after="0"/>
        <w:jc w:val="left"/>
        <w:rPr>
          <w:rFonts w:ascii="Times New Roman" w:hAnsi="Times New Roman"/>
          <w:sz w:val="20"/>
        </w:rPr>
      </w:pPr>
      <w:r>
        <w:rPr>
          <w:rFonts w:ascii="Times New Roman" w:hAnsi="Times New Roman"/>
          <w:sz w:val="20"/>
        </w:rPr>
        <w:t xml:space="preserve">The paragraphs under the title “Nomination of Ms. Janet DiFiore to the Board of Directors” in this report on Form 6-K are hereby incorporated by reference into the registrant’s Registration Statement on Form F-3 (File No. 333-282610), Registration Statement on Form F-3 (File No. 333-286825) and Registration Statement on Form F-3 (File No. 333-287895).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1"/>
        <w:gridCol w:w="408"/>
        <w:gridCol w:w="60"/>
        <w:gridCol w:w="23"/>
        <w:gridCol w:w="101"/>
        <w:gridCol w:w="4706"/>
      </w:tblGrid>
      <w:tr>
        <w:trPr/>
        <w:tc>
          <w:tcPr>
            <w:tcW w:w="48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b/>
              </w:rPr>
            </w:pPr>
            <w:r>
              <w:rPr>
                <w:b/>
              </w:rPr>
              <w:t>CAPITAL CLEAN ENERGY CARRIERS CORP.</w:t>
            </w:r>
          </w:p>
        </w:tc>
      </w:tr>
      <w:tr>
        <w:trPr>
          <w:trHeight w:val="240" w:hRule="atLeast"/>
        </w:trPr>
        <w:tc>
          <w:tcPr>
            <w:tcW w:w="4806"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07" w:type="dxa"/>
            <w:gridSpan w:val="2"/>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Dated: August 10, 2026</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Gerasimos (Jerry) Kalogiratos</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Name: Gerasimos (Jerry) Kalogiratos</w:t>
            </w:r>
          </w:p>
        </w:tc>
      </w:tr>
      <w:tr>
        <w:trPr/>
        <w:tc>
          <w:tcPr>
            <w:tcW w:w="48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6" w:type="dxa"/>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2" w:name="d104403dex99i.htm"/>
      <w:bookmarkStart w:id="3" w:name="ksd104403dex99i"/>
      <w:bookmarkEnd w:id="2"/>
      <w:bookmarkEnd w:id="3"/>
      <w:r>
        <w:rPr>
          <w:rFonts w:ascii="Times New Roman" w:hAnsi="Times New Roman"/>
          <w:b/>
          <w:sz w:val="20"/>
        </w:rPr>
        <w:t xml:space="preserve">Exhibit 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995805" cy="724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5805" cy="7245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Capital Clean Energy Carriers Corp. Announces Annual Meeting of Shareholders </w:t>
      </w:r>
    </w:p>
    <w:p>
      <w:pPr>
        <w:pStyle w:val="TextBody"/>
        <w:bidi w:val="0"/>
        <w:spacing w:before="240" w:after="0"/>
        <w:jc w:val="left"/>
        <w:rPr>
          <w:rFonts w:ascii="Times New Roman" w:hAnsi="Times New Roman"/>
          <w:sz w:val="20"/>
        </w:rPr>
      </w:pPr>
      <w:r>
        <w:rPr>
          <w:rFonts w:ascii="Times New Roman" w:hAnsi="Times New Roman"/>
          <w:sz w:val="20"/>
        </w:rPr>
        <w:t>ATHENS, GREECE, August 7, 2026 – The Board of Directors of Capital Clean Energy Carriers Corp. (NASDAQ: CCEC) (the “Corporation” or “CCEC”) has called an annual meeting of shareholders to be held at the Corporation’s headquarters in Greece on September 22, 2026 at 11:30 am local time (the “</w:t>
      </w:r>
      <w:r>
        <w:rPr>
          <w:rFonts w:ascii="Times New Roman" w:hAnsi="Times New Roman"/>
          <w:i/>
          <w:sz w:val="20"/>
        </w:rPr>
        <w:t>Annual Meeting</w:t>
      </w:r>
      <w:r>
        <w:rPr>
          <w:rFonts w:ascii="Times New Roman" w:hAnsi="Times New Roman"/>
          <w:sz w:val="20"/>
        </w:rPr>
        <w:t xml:space="preserve">”). Shareholders of record at the close of business on July 24, 2026 are entitled to receive notice of, and to vote at, the Annual Meeting, or any adjournments or postponements thereof. A cover letter, formal notice of the Annual Meeting, the Corporation’s proxy statement and the accompanying Annual Report on Form 20-F are being sent to shareholders of the Corporation. Electronic copies of the materials are accessible on the Corporation’s website at </w:t>
      </w:r>
      <w:r>
        <w:rPr>
          <w:rFonts w:ascii="Times New Roman" w:hAnsi="Times New Roman"/>
          <w:sz w:val="20"/>
          <w:u w:val="single"/>
        </w:rPr>
        <w:t>http://ir.capitalcleanenergycarriers.com</w:t>
      </w:r>
      <w:r>
        <w:rPr>
          <w:rFonts w:ascii="Times New Roman" w:hAnsi="Times New Roman"/>
          <w:sz w:val="20"/>
        </w:rPr>
        <w:t xml:space="preserve">/ . Following receipt of a proxy card, shareholders may vote their common shares by accessing </w:t>
      </w:r>
      <w:r>
        <w:rPr>
          <w:rFonts w:ascii="Times New Roman" w:hAnsi="Times New Roman"/>
          <w:sz w:val="20"/>
          <w:u w:val="single"/>
        </w:rPr>
        <w:t>www.proxyvote.com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Capital Clean Energy Carriers Corp. </w:t>
      </w:r>
    </w:p>
    <w:p>
      <w:pPr>
        <w:pStyle w:val="TextBody"/>
        <w:bidi w:val="0"/>
        <w:spacing w:before="120" w:after="0"/>
        <w:jc w:val="left"/>
        <w:rPr>
          <w:rFonts w:ascii="Times New Roman" w:hAnsi="Times New Roman"/>
          <w:sz w:val="20"/>
        </w:rPr>
      </w:pPr>
      <w:r>
        <w:rPr>
          <w:rFonts w:ascii="Times New Roman" w:hAnsi="Times New Roman"/>
          <w:sz w:val="20"/>
        </w:rPr>
        <w:t xml:space="preserve">Capital Clean Energy Carriers Corp. (NASDAQ: CCEC), an international shipping company, is a leading platform of gas carriage solutions with a focus on energy transition. CCEC’s in-the-water fleet includes 20 high specification vessels, including 15 latest generation LNG/Cs, one legacy Neo-Panamax container vessel, two dual-fuel medium gas carriers (“MG/Cs”) and two Handy Liquefied CO2 Multi-Gas Carriers (“HMG/Cs”). In addition, CCEC’s under-construction fleet includes six additional latest generation LNG/Cs, four MG/Cs, two HMG/Cs and one LNG dual-fuel Bunkering vessel to be delivered between the third quarter of 2026 and the first quarter of 2029. </w:t>
      </w:r>
    </w:p>
    <w:p>
      <w:pPr>
        <w:pStyle w:val="TextBody"/>
        <w:bidi w:val="0"/>
        <w:spacing w:before="240" w:after="0"/>
        <w:jc w:val="left"/>
        <w:rPr>
          <w:rFonts w:ascii="Times New Roman" w:hAnsi="Times New Roman"/>
          <w:sz w:val="20"/>
        </w:rPr>
      </w:pPr>
      <w:r>
        <w:rPr>
          <w:rFonts w:ascii="Times New Roman" w:hAnsi="Times New Roman"/>
          <w:sz w:val="20"/>
        </w:rPr>
        <w:t xml:space="preserve">Contact Details: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 Media </w:t>
      </w:r>
    </w:p>
    <w:p>
      <w:pPr>
        <w:pStyle w:val="TextBody"/>
        <w:bidi w:val="0"/>
        <w:spacing w:before="0" w:after="0"/>
        <w:jc w:val="left"/>
        <w:rPr>
          <w:rFonts w:ascii="Times New Roman" w:hAnsi="Times New Roman"/>
          <w:sz w:val="20"/>
        </w:rPr>
      </w:pPr>
      <w:r>
        <w:rPr>
          <w:rFonts w:ascii="Times New Roman" w:hAnsi="Times New Roman"/>
          <w:sz w:val="20"/>
        </w:rPr>
        <w:t xml:space="preserve">Brian Gallagher </w:t>
      </w:r>
    </w:p>
    <w:p>
      <w:pPr>
        <w:pStyle w:val="TextBody"/>
        <w:bidi w:val="0"/>
        <w:spacing w:before="0" w:after="0"/>
        <w:jc w:val="left"/>
        <w:rPr>
          <w:rFonts w:ascii="Times New Roman" w:hAnsi="Times New Roman"/>
          <w:sz w:val="20"/>
        </w:rPr>
      </w:pPr>
      <w:r>
        <w:rPr>
          <w:rFonts w:ascii="Times New Roman" w:hAnsi="Times New Roman"/>
          <w:sz w:val="20"/>
        </w:rPr>
        <w:t xml:space="preserve">EVP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Tel. +44-(770) 368 4996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b.gallagher@capitalmaritime.com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Nicolas Bornozis/Markella Karra </w:t>
      </w:r>
    </w:p>
    <w:p>
      <w:pPr>
        <w:pStyle w:val="TextBody"/>
        <w:bidi w:val="0"/>
        <w:spacing w:before="0" w:after="0"/>
        <w:jc w:val="left"/>
        <w:rPr>
          <w:rFonts w:ascii="Times New Roman" w:hAnsi="Times New Roman"/>
          <w:sz w:val="20"/>
        </w:rPr>
      </w:pPr>
      <w:r>
        <w:rPr>
          <w:rFonts w:ascii="Times New Roman" w:hAnsi="Times New Roman"/>
          <w:sz w:val="20"/>
        </w:rPr>
        <w:t xml:space="preserve">Capital Link, Inc. (New York) </w:t>
      </w:r>
    </w:p>
    <w:p>
      <w:pPr>
        <w:pStyle w:val="TextBody"/>
        <w:bidi w:val="0"/>
        <w:spacing w:before="0" w:after="0"/>
        <w:jc w:val="left"/>
        <w:rPr>
          <w:rFonts w:ascii="Times New Roman" w:hAnsi="Times New Roman"/>
          <w:sz w:val="20"/>
        </w:rPr>
      </w:pPr>
      <w:r>
        <w:rPr>
          <w:rFonts w:ascii="Times New Roman" w:hAnsi="Times New Roman"/>
          <w:sz w:val="20"/>
        </w:rPr>
        <w:t xml:space="preserve">Tel. +1-212-661-7566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ccec@capitallink.com</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04403dex99ii.htm"/>
      <w:bookmarkStart w:id="5" w:name="ksd104403dex99ii"/>
      <w:bookmarkEnd w:id="4"/>
      <w:bookmarkEnd w:id="5"/>
      <w:r>
        <w:rPr>
          <w:rFonts w:ascii="Times New Roman" w:hAnsi="Times New Roman"/>
          <w:b/>
          <w:sz w:val="20"/>
        </w:rPr>
        <w:t xml:space="preserve">Exhibit II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40970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9700" cy="5238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August 7, 2026 </w:t>
      </w:r>
    </w:p>
    <w:p>
      <w:pPr>
        <w:pStyle w:val="TextBody"/>
        <w:bidi w:val="0"/>
        <w:spacing w:before="240" w:after="0"/>
        <w:jc w:val="center"/>
        <w:rPr>
          <w:rFonts w:ascii="Times New Roman" w:hAnsi="Times New Roman"/>
          <w:b/>
          <w:sz w:val="20"/>
        </w:rPr>
      </w:pPr>
      <w:r>
        <w:rPr>
          <w:rFonts w:ascii="Times New Roman" w:hAnsi="Times New Roman"/>
          <w:b/>
          <w:sz w:val="20"/>
        </w:rPr>
        <w:t xml:space="preserve">LETTER TO THE SHAREHOLDERS OF CAPITAL CLEAN ENERGY CARRIERS CORP. </w:t>
      </w:r>
    </w:p>
    <w:p>
      <w:pPr>
        <w:pStyle w:val="TextBody"/>
        <w:bidi w:val="0"/>
        <w:spacing w:before="240" w:after="0"/>
        <w:jc w:val="left"/>
        <w:rPr>
          <w:rFonts w:ascii="Times New Roman" w:hAnsi="Times New Roman"/>
          <w:sz w:val="20"/>
        </w:rPr>
      </w:pPr>
      <w:r>
        <w:rPr>
          <w:rFonts w:ascii="Times New Roman" w:hAnsi="Times New Roman"/>
          <w:sz w:val="20"/>
        </w:rPr>
        <w:t>Enclosed are (i) a Notice of the Annual Meeting of Shareholders of Capital Clean Energy Carriers Corp. (the “</w:t>
      </w:r>
      <w:r>
        <w:rPr>
          <w:rFonts w:ascii="Times New Roman" w:hAnsi="Times New Roman"/>
          <w:i/>
          <w:sz w:val="20"/>
        </w:rPr>
        <w:t>Company</w:t>
      </w:r>
      <w:r>
        <w:rPr>
          <w:rFonts w:ascii="Times New Roman" w:hAnsi="Times New Roman"/>
          <w:sz w:val="20"/>
        </w:rPr>
        <w:t>”) which will be held at 3 Iassonos Street, 18537 Piraeus, Greece, on September 22, 2026 at 11:30 a.m. Greek time (the “</w:t>
      </w:r>
      <w:r>
        <w:rPr>
          <w:rFonts w:ascii="Times New Roman" w:hAnsi="Times New Roman"/>
          <w:i/>
          <w:sz w:val="20"/>
        </w:rPr>
        <w:t>Annual Meeting</w:t>
      </w:r>
      <w:r>
        <w:rPr>
          <w:rFonts w:ascii="Times New Roman" w:hAnsi="Times New Roman"/>
          <w:sz w:val="20"/>
        </w:rPr>
        <w:t xml:space="preserve">”), (ii) the Company’s Proxy Statement in connection with the Annual Meeting, and (iii) the Company’s Annual Report on Form 20-F that accompanies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At this Annual Meeting, the shareholders of the Company will consider and vote upon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elect eight directors of the Company to serve until the 2027 Annual Meeting of Shareholders and until their successors are elected and qualified (“</w:t>
            </w:r>
            <w:r>
              <w:rPr>
                <w:rFonts w:ascii="Times New Roman" w:hAnsi="Times New Roman"/>
                <w:i/>
                <w:sz w:val="20"/>
              </w:rPr>
              <w:t>Proposal One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ratify the appointment of Deloitte Certified Public Accountants S.A. as our independent registered public accounting firm for the fiscal year ending December 31, 2026 (“</w:t>
            </w:r>
            <w:r>
              <w:rPr>
                <w:rFonts w:ascii="Times New Roman" w:hAnsi="Times New Roman"/>
                <w:i/>
                <w:sz w:val="20"/>
              </w:rPr>
              <w:t>Proposal Two</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and any adjournments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Adoption of Proposal One with respect to each director requires the affirmative vote of a majority of the votes cast by holders of the common shares with respect to such director. Adoption of Proposal Two requires the affirmative vote of a majority of the votes cast by holders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Annual Meeting in person. If you attend the Annual Meeting, you may revoke your proxy and vote your shares in person. </w:t>
      </w:r>
    </w:p>
    <w:p>
      <w:pPr>
        <w:pStyle w:val="TextBody"/>
        <w:bidi w:val="0"/>
        <w:spacing w:before="240" w:after="0"/>
        <w:jc w:val="left"/>
        <w:rPr>
          <w:rFonts w:ascii="Times New Roman" w:hAnsi="Times New Roman"/>
          <w:b/>
          <w:sz w:val="20"/>
        </w:rPr>
      </w:pPr>
      <w:r>
        <w:rPr>
          <w:rFonts w:ascii="Times New Roman" w:hAnsi="Times New Roman"/>
          <w:b/>
          <w:sz w:val="20"/>
        </w:rPr>
        <w:t xml:space="preserve">IT IS IMPORTANT TO VOTE. WHETHER OR NOT YOU PLAN TO ATTEND THE ANNUAL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THE PROPOSALS PRESENTED IN THE PROXY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Very truly yours,</w:t>
            </w:r>
          </w:p>
        </w:tc>
      </w:tr>
      <w:tr>
        <w:trPr/>
        <w:tc>
          <w:tcPr>
            <w:tcW w:w="4082" w:type="dxa"/>
            <w:tcBorders/>
          </w:tcPr>
          <w:p>
            <w:pPr>
              <w:pStyle w:val="TableContents"/>
              <w:bidi w:val="0"/>
              <w:spacing w:before="0" w:after="283"/>
              <w:jc w:val="center"/>
              <w:rPr/>
            </w:pPr>
            <w:r>
              <w:rPr/>
              <w:t>Gerasimos (Jerry) Kalogiratos</w:t>
            </w:r>
          </w:p>
        </w:tc>
      </w:tr>
      <w:tr>
        <w:trPr/>
        <w:tc>
          <w:tcPr>
            <w:tcW w:w="4082" w:type="dxa"/>
            <w:tcBorders/>
          </w:tcPr>
          <w:p>
            <w:pPr>
              <w:pStyle w:val="TableContents"/>
              <w:bidi w:val="0"/>
              <w:spacing w:before="0" w:after="283"/>
              <w:jc w:val="center"/>
              <w:rPr>
                <w:i/>
              </w:rPr>
            </w:pPr>
            <w:r>
              <w:rPr>
                <w:i/>
              </w:rPr>
              <w:t>Director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409700"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09700" cy="5238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CAPITAL CLEAN ENERGY CARRIERS CORP.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ANNUAL MEETING OF SHAREHOLDERS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7, 2026 </w:t>
      </w:r>
    </w:p>
    <w:p>
      <w:pPr>
        <w:pStyle w:val="TextBody"/>
        <w:bidi w:val="0"/>
        <w:spacing w:before="240" w:after="0"/>
        <w:jc w:val="left"/>
        <w:rPr>
          <w:rFonts w:ascii="Times New Roman" w:hAnsi="Times New Roman"/>
          <w:sz w:val="20"/>
        </w:rPr>
      </w:pPr>
      <w:r>
        <w:rPr>
          <w:rFonts w:ascii="Times New Roman" w:hAnsi="Times New Roman"/>
          <w:sz w:val="20"/>
        </w:rPr>
        <w:t>NOTICE IS HEREBY given that the annual meeting of shareholders of Capital Clean Energy Carriers Corp. (the “</w:t>
      </w:r>
      <w:r>
        <w:rPr>
          <w:rFonts w:ascii="Times New Roman" w:hAnsi="Times New Roman"/>
          <w:i/>
          <w:sz w:val="20"/>
        </w:rPr>
        <w:t>Company</w:t>
      </w:r>
      <w:r>
        <w:rPr>
          <w:rFonts w:ascii="Times New Roman" w:hAnsi="Times New Roman"/>
          <w:sz w:val="20"/>
        </w:rPr>
        <w:t>”) will be held at 3 Iassonos Str., 18537 Piraeus, Greece, on September 22, 2026 at 11:30 a.m. Greek time (the “</w:t>
      </w:r>
      <w:r>
        <w:rPr>
          <w:rFonts w:ascii="Times New Roman" w:hAnsi="Times New Roman"/>
          <w:i/>
          <w:sz w:val="20"/>
        </w:rPr>
        <w:t>Annual Meeting</w:t>
      </w:r>
      <w:r>
        <w:rPr>
          <w:rFonts w:ascii="Times New Roman" w:hAnsi="Times New Roman"/>
          <w:sz w:val="20"/>
        </w:rPr>
        <w:t xml:space="preserve">”) for the following purposes, of which items 1 and 2 are more completely set forth in the accompanying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elect eight directors of the Company to serve until the 2027 Annual Meeting of Shareholders, and until their successors are elected and qualified (“</w:t>
            </w:r>
            <w:r>
              <w:rPr>
                <w:rFonts w:ascii="Times New Roman" w:hAnsi="Times New Roman"/>
                <w:i/>
                <w:sz w:val="20"/>
              </w:rPr>
              <w:t>Proposal One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ratify the appointment of Deloitte Certified Public Accountants S.A. as our independent registered public accounting firm for the fiscal year ending December 31, 2026 (“</w:t>
            </w:r>
            <w:r>
              <w:rPr>
                <w:rFonts w:ascii="Times New Roman" w:hAnsi="Times New Roman"/>
                <w:i/>
                <w:sz w:val="20"/>
              </w:rPr>
              <w:t>Proposal Two</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and any adjournments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of Directors has fixed the close of business on July 24, 2026, as the record date for the determination of the shareholders entitled to receive notice and to vote at the Annual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record on the record date may attend the Annual Meeting in person. If you hold your shares in street name through a brokerage firm, bank or other nominee and you wish to attend the Annual Meeting in person, you must bring proof of beneficial ownership as of the record date in order to attend the Annual Meeting in person. </w:t>
      </w:r>
    </w:p>
    <w:p>
      <w:pPr>
        <w:pStyle w:val="TextBody"/>
        <w:bidi w:val="0"/>
        <w:spacing w:before="240" w:after="0"/>
        <w:jc w:val="left"/>
        <w:rPr>
          <w:rFonts w:ascii="Times New Roman" w:hAnsi="Times New Roman"/>
          <w:b/>
          <w:sz w:val="20"/>
        </w:rPr>
      </w:pPr>
      <w:r>
        <w:rPr>
          <w:rFonts w:ascii="Times New Roman" w:hAnsi="Times New Roman"/>
          <w:b/>
          <w:sz w:val="20"/>
        </w:rPr>
        <w:t xml:space="preserve">IT IS IMPORTANT TO VOTE. WHETHER OR NOT YOU PLAN TO ATTEND THE ANNUAL MEETING, PLEASE COMPLETE, DATE, SIGN AND RETURN THE ENCLOSED PROXY IN THE ENCLOSED ENVELOPE, WHICH DOES NOT REQUIRE POSTAGE IF MAILED IN THE UNITED STATES. THE VOTE OF EVERY SHAREHOLDER IS IMPORTANT AND YOUR COOPERATION IN RETURNING YOUR EXECUTED PROXY PROMPTLY WILL BE APPRECIATED. ANY SIGNED PROXY RETURNED AND NOT COMPLETED WILL BE VOTED IN FAVOR OF ALL THE PROPOSALS PRESENTED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you attend the Annual Meeting, you may revoke your proxy and vote in person. If you hold your shares in street name through a brokerage firm, bank or other nominee, please follow the instructions you receive from them to vote your shares or to revoke your vote, if necessary.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Gerasimos (Jerry) Kalogiratos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i/>
              </w:rPr>
            </w:pPr>
            <w:r>
              <w:rPr>
                <w:i/>
              </w:rPr>
              <w:t>Director and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CAPITAL CLEAN ENERGY CARRIERS CORP. ANNUAL MEETING OF SHAREHOLDERS TO BE </w:t>
      </w:r>
    </w:p>
    <w:p>
      <w:pPr>
        <w:pStyle w:val="TextBody"/>
        <w:bidi w:val="0"/>
        <w:spacing w:before="0" w:after="0"/>
        <w:jc w:val="center"/>
        <w:rPr>
          <w:rFonts w:ascii="Times New Roman" w:hAnsi="Times New Roman"/>
          <w:b/>
          <w:sz w:val="20"/>
        </w:rPr>
      </w:pPr>
      <w:r>
        <w:rPr>
          <w:rFonts w:ascii="Times New Roman" w:hAnsi="Times New Roman"/>
          <w:b/>
          <w:sz w:val="20"/>
        </w:rPr>
        <w:t xml:space="preserve">HELD ON SEPTEMBER 22, 2026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TIME, DATE AND PLACE OF ANNUAL MEETING </w:t>
      </w:r>
    </w:p>
    <w:p>
      <w:pPr>
        <w:pStyle w:val="TextBody"/>
        <w:bidi w:val="0"/>
        <w:spacing w:before="240" w:after="0"/>
        <w:jc w:val="left"/>
        <w:rPr>
          <w:rFonts w:ascii="Times New Roman" w:hAnsi="Times New Roman"/>
          <w:sz w:val="20"/>
        </w:rPr>
      </w:pPr>
      <w:r>
        <w:rPr>
          <w:rFonts w:ascii="Times New Roman" w:hAnsi="Times New Roman"/>
          <w:sz w:val="20"/>
        </w:rPr>
        <w:t>This Proxy Statement is furnished in connection with the solicitation by the Board of Directors (the “</w:t>
      </w:r>
      <w:r>
        <w:rPr>
          <w:rFonts w:ascii="Times New Roman" w:hAnsi="Times New Roman"/>
          <w:i/>
          <w:sz w:val="20"/>
        </w:rPr>
        <w:t>Board of Directors</w:t>
      </w:r>
      <w:r>
        <w:rPr>
          <w:rFonts w:ascii="Times New Roman" w:hAnsi="Times New Roman"/>
          <w:sz w:val="20"/>
        </w:rPr>
        <w:t>”) of Capital Clean Energy Carriers Corp., a Marshall Islands corporation (the “</w:t>
      </w:r>
      <w:r>
        <w:rPr>
          <w:rFonts w:ascii="Times New Roman" w:hAnsi="Times New Roman"/>
          <w:i/>
          <w:sz w:val="20"/>
        </w:rPr>
        <w:t>Company</w:t>
      </w:r>
      <w:r>
        <w:rPr>
          <w:rFonts w:ascii="Times New Roman" w:hAnsi="Times New Roman"/>
          <w:sz w:val="20"/>
        </w:rPr>
        <w:t>”), of proxies from our shareholders (the “</w:t>
      </w:r>
      <w:r>
        <w:rPr>
          <w:rFonts w:ascii="Times New Roman" w:hAnsi="Times New Roman"/>
          <w:i/>
          <w:sz w:val="20"/>
        </w:rPr>
        <w:t>Shareholders</w:t>
      </w:r>
      <w:r>
        <w:rPr>
          <w:rFonts w:ascii="Times New Roman" w:hAnsi="Times New Roman"/>
          <w:sz w:val="20"/>
        </w:rPr>
        <w:t>”), for use at our annual meeting of shareholders (the “</w:t>
      </w:r>
      <w:r>
        <w:rPr>
          <w:rFonts w:ascii="Times New Roman" w:hAnsi="Times New Roman"/>
          <w:i/>
          <w:sz w:val="20"/>
        </w:rPr>
        <w:t>Annual Meeting</w:t>
      </w:r>
      <w:r>
        <w:rPr>
          <w:rFonts w:ascii="Times New Roman" w:hAnsi="Times New Roman"/>
          <w:sz w:val="20"/>
        </w:rPr>
        <w:t xml:space="preserve">”) to be held at our principal executive offices at 3 Iassonos Street, 18537 Piraeus, Greece, at 11:30 a.m. Greek time, on September 22, 2026 and at any adjournments or postponements thereof, pursuant to the enclosed Notice of Annual Meeting. </w:t>
      </w:r>
    </w:p>
    <w:p>
      <w:pPr>
        <w:pStyle w:val="TextBody"/>
        <w:bidi w:val="0"/>
        <w:spacing w:before="240" w:after="0"/>
        <w:jc w:val="left"/>
        <w:rPr>
          <w:rFonts w:ascii="Times New Roman" w:hAnsi="Times New Roman"/>
          <w:sz w:val="20"/>
        </w:rPr>
      </w:pPr>
      <w:r>
        <w:rPr>
          <w:rFonts w:ascii="Times New Roman" w:hAnsi="Times New Roman"/>
          <w:sz w:val="20"/>
        </w:rPr>
        <w:t>On August 26, 2024 (the “</w:t>
      </w:r>
      <w:r>
        <w:rPr>
          <w:rFonts w:ascii="Times New Roman" w:hAnsi="Times New Roman"/>
          <w:i/>
          <w:sz w:val="20"/>
        </w:rPr>
        <w:t>Effective Date</w:t>
      </w:r>
      <w:r>
        <w:rPr>
          <w:rFonts w:ascii="Times New Roman" w:hAnsi="Times New Roman"/>
          <w:sz w:val="20"/>
        </w:rPr>
        <w:t>”), we completed our conversion from a Marshall Islands limited partnership named “Capital Product Partners L.P.” (the “</w:t>
      </w:r>
      <w:r>
        <w:rPr>
          <w:rFonts w:ascii="Times New Roman" w:hAnsi="Times New Roman"/>
          <w:i/>
          <w:sz w:val="20"/>
        </w:rPr>
        <w:t>Partnership</w:t>
      </w:r>
      <w:r>
        <w:rPr>
          <w:rFonts w:ascii="Times New Roman" w:hAnsi="Times New Roman"/>
          <w:sz w:val="20"/>
        </w:rPr>
        <w:t>”) to a Marshall Islands corporation named “Capital Clean Energy Carriers Corp.” (the “</w:t>
      </w:r>
      <w:r>
        <w:rPr>
          <w:rFonts w:ascii="Times New Roman" w:hAnsi="Times New Roman"/>
          <w:i/>
          <w:sz w:val="20"/>
        </w:rPr>
        <w:t>Conversion</w:t>
      </w:r>
      <w:r>
        <w:rPr>
          <w:rFonts w:ascii="Times New Roman" w:hAnsi="Times New Roman"/>
          <w:sz w:val="20"/>
        </w:rPr>
        <w:t>”). Upon the Effective Date, among other things, (i) each common unit of the Partnership (the “</w:t>
      </w:r>
      <w:r>
        <w:rPr>
          <w:rFonts w:ascii="Times New Roman" w:hAnsi="Times New Roman"/>
          <w:i/>
          <w:sz w:val="20"/>
        </w:rPr>
        <w:t>Common Units</w:t>
      </w:r>
      <w:r>
        <w:rPr>
          <w:rFonts w:ascii="Times New Roman" w:hAnsi="Times New Roman"/>
          <w:sz w:val="20"/>
        </w:rPr>
        <w:t>”) issued and outstanding immediately prior to the Effective Date was converted into one common share, par value $0.01 per share, of the Company (the “</w:t>
      </w:r>
      <w:r>
        <w:rPr>
          <w:rFonts w:ascii="Times New Roman" w:hAnsi="Times New Roman"/>
          <w:i/>
          <w:sz w:val="20"/>
        </w:rPr>
        <w:t>Common Shares</w:t>
      </w:r>
      <w:r>
        <w:rPr>
          <w:rFonts w:ascii="Times New Roman" w:hAnsi="Times New Roman"/>
          <w:sz w:val="20"/>
        </w:rPr>
        <w:t>”) and (ii) the 348,570 general partner units of the Partnership and all of the incentive distribution rights of the Partnership, in each case outstanding as of immediately prior to the Effective Date, were converted into an aggregate of 3,500,000 Common Shares. The Common Shares are listed on the Nasdaq Global Select Market (“</w:t>
      </w:r>
      <w:r>
        <w:rPr>
          <w:rFonts w:ascii="Times New Roman" w:hAnsi="Times New Roman"/>
          <w:i/>
          <w:sz w:val="20"/>
        </w:rPr>
        <w:t>Nasdaq</w:t>
      </w:r>
      <w:r>
        <w:rPr>
          <w:rFonts w:ascii="Times New Roman" w:hAnsi="Times New Roman"/>
          <w:sz w:val="20"/>
        </w:rPr>
        <w:t xml:space="preserve">”) under the symbol “CCEC”. </w:t>
      </w:r>
    </w:p>
    <w:p>
      <w:pPr>
        <w:pStyle w:val="TextBody"/>
        <w:bidi w:val="0"/>
        <w:spacing w:before="240" w:after="0"/>
        <w:jc w:val="left"/>
        <w:rPr>
          <w:rFonts w:ascii="Times New Roman" w:hAnsi="Times New Roman"/>
          <w:sz w:val="20"/>
        </w:rPr>
      </w:pPr>
      <w:r>
        <w:rPr>
          <w:rFonts w:ascii="Times New Roman" w:hAnsi="Times New Roman"/>
          <w:sz w:val="20"/>
        </w:rPr>
        <w:t>The Conversion is deemed a continuation of the existence of the Partnership in the form of a Marshall Islands corporation, with the existence of the Company deemed to have commenced on the date the Partnership commenced its existence. Upon the Conversion, the Second Amended and Restated Agreement of Limited Partnership of the Partnership (as amended, the “</w:t>
      </w:r>
      <w:r>
        <w:rPr>
          <w:rFonts w:ascii="Times New Roman" w:hAnsi="Times New Roman"/>
          <w:i/>
          <w:sz w:val="20"/>
        </w:rPr>
        <w:t>Partnership Agreement</w:t>
      </w:r>
      <w:r>
        <w:rPr>
          <w:rFonts w:ascii="Times New Roman" w:hAnsi="Times New Roman"/>
          <w:sz w:val="20"/>
        </w:rPr>
        <w:t>”) and the Certificate of Limited Partnership were terminated and no longer govern the affairs of the Partnership, but instead, the affairs of the Company are governed by the Marshall Islands Business Corporations Act, the Articles of Incorporation of the Company and the Bylaws of the Company. Capital GP L.L.C. (“</w:t>
      </w:r>
      <w:r>
        <w:rPr>
          <w:rFonts w:ascii="Times New Roman" w:hAnsi="Times New Roman"/>
          <w:i/>
          <w:sz w:val="20"/>
        </w:rPr>
        <w:t>CGP LLC</w:t>
      </w:r>
      <w:r>
        <w:rPr>
          <w:rFonts w:ascii="Times New Roman" w:hAnsi="Times New Roman"/>
          <w:sz w:val="20"/>
        </w:rPr>
        <w:t>” or the “</w:t>
      </w:r>
      <w:r>
        <w:rPr>
          <w:rFonts w:ascii="Times New Roman" w:hAnsi="Times New Roman"/>
          <w:i/>
          <w:sz w:val="20"/>
        </w:rPr>
        <w:t>General Partner</w:t>
      </w:r>
      <w:r>
        <w:rPr>
          <w:rFonts w:ascii="Times New Roman" w:hAnsi="Times New Roman"/>
          <w:sz w:val="20"/>
        </w:rPr>
        <w:t xml:space="preserve">”), the former general partner of the Partnership, no longer has management or consent rights with respect to the Partnership pursuant to the Partnership Agreement. </w:t>
      </w:r>
    </w:p>
    <w:p>
      <w:pPr>
        <w:pStyle w:val="TextBody"/>
        <w:bidi w:val="0"/>
        <w:spacing w:before="240" w:after="0"/>
        <w:jc w:val="left"/>
        <w:rPr>
          <w:rFonts w:ascii="Times New Roman" w:hAnsi="Times New Roman"/>
          <w:sz w:val="20"/>
        </w:rPr>
      </w:pPr>
      <w:r>
        <w:rPr>
          <w:rFonts w:ascii="Times New Roman" w:hAnsi="Times New Roman"/>
          <w:sz w:val="20"/>
        </w:rPr>
        <w:t>References in this Proxy Statement to “</w:t>
      </w:r>
      <w:r>
        <w:rPr>
          <w:rFonts w:ascii="Times New Roman" w:hAnsi="Times New Roman"/>
          <w:i/>
          <w:sz w:val="20"/>
        </w:rPr>
        <w:t>we</w:t>
      </w:r>
      <w:r>
        <w:rPr>
          <w:rFonts w:ascii="Times New Roman" w:hAnsi="Times New Roman"/>
          <w:sz w:val="20"/>
        </w:rPr>
        <w:t>,” “</w:t>
      </w:r>
      <w:r>
        <w:rPr>
          <w:rFonts w:ascii="Times New Roman" w:hAnsi="Times New Roman"/>
          <w:i/>
          <w:sz w:val="20"/>
        </w:rPr>
        <w:t>our</w:t>
      </w:r>
      <w:r>
        <w:rPr>
          <w:rFonts w:ascii="Times New Roman" w:hAnsi="Times New Roman"/>
          <w:sz w:val="20"/>
        </w:rPr>
        <w:t>,” “</w:t>
      </w:r>
      <w:r>
        <w:rPr>
          <w:rFonts w:ascii="Times New Roman" w:hAnsi="Times New Roman"/>
          <w:i/>
          <w:sz w:val="20"/>
        </w:rPr>
        <w:t>us</w:t>
      </w:r>
      <w:r>
        <w:rPr>
          <w:rFonts w:ascii="Times New Roman" w:hAnsi="Times New Roman"/>
          <w:sz w:val="20"/>
        </w:rPr>
        <w:t xml:space="preserve">” or like terms refer to (i) the Company and its subsidiaries, as the context requires, following the Conversion, and (ii) the Partnership and its subsidiaries, as the context requires, prior to the Conversion. In addition, unless the context otherwise requires, references in this Proxy Statement to Common Shares or per share amounts prior to the Conversion are to Common Units or per unit amounts. </w:t>
      </w:r>
    </w:p>
    <w:p>
      <w:pPr>
        <w:pStyle w:val="TextBody"/>
        <w:bidi w:val="0"/>
        <w:spacing w:before="240" w:after="0"/>
        <w:jc w:val="left"/>
        <w:rPr>
          <w:rFonts w:ascii="Times New Roman" w:hAnsi="Times New Roman"/>
          <w:sz w:val="20"/>
        </w:rPr>
      </w:pPr>
      <w:r>
        <w:rPr>
          <w:rFonts w:ascii="Times New Roman" w:hAnsi="Times New Roman"/>
          <w:sz w:val="20"/>
        </w:rPr>
        <w:t xml:space="preserve">The date this Proxy Statement is being sent to the Shareholders is on or around August 7, 2026. You should review the information provided herein in conjunction with our Annual Report for the year ended December 31, 2025, which accompanies this Proxy Statement. Our principal executive offices are located at 3 Iassonos Street, 18537 Piraeus, Greece, and our telephone number is +30 210 458 4950. </w:t>
      </w:r>
    </w:p>
    <w:p>
      <w:pPr>
        <w:pStyle w:val="TextBody"/>
        <w:bidi w:val="0"/>
        <w:spacing w:before="480" w:after="0"/>
        <w:jc w:val="center"/>
        <w:rPr>
          <w:rFonts w:ascii="Times New Roman" w:hAnsi="Times New Roman"/>
          <w:b/>
          <w:sz w:val="20"/>
        </w:rPr>
      </w:pPr>
      <w:r>
        <w:rPr>
          <w:rFonts w:ascii="Times New Roman" w:hAnsi="Times New Roman"/>
          <w:b/>
          <w:sz w:val="20"/>
        </w:rPr>
        <w:t xml:space="preserve">INFORMATION CONCERNING PROXY </w:t>
      </w:r>
    </w:p>
    <w:p>
      <w:pPr>
        <w:pStyle w:val="TextBody"/>
        <w:bidi w:val="0"/>
        <w:spacing w:before="240" w:after="0"/>
        <w:jc w:val="left"/>
        <w:rPr>
          <w:rFonts w:ascii="Times New Roman" w:hAnsi="Times New Roman"/>
          <w:sz w:val="20"/>
        </w:rPr>
      </w:pPr>
      <w:r>
        <w:rPr>
          <w:rFonts w:ascii="Times New Roman" w:hAnsi="Times New Roman"/>
          <w:sz w:val="20"/>
        </w:rPr>
        <w:t xml:space="preserve">The enclosed proxy is solicited on behalf of our Board of Directors. The giving of a proxy does not preclude the right to vote in person should any Shareholder giving the proxy so desire and such Shareholder duly revokes the proxy. Shareholders have an unconditional right to revoke their proxy at any time prior to the exercise thereof, either in person at the Annual Meeting or by filing at our headquarters a written notice of revocation or a duly executed proxy bearing a later date; no such revocation will be effective, however, until written notice of the revocation or a duly executed proxy bearing a later date is received by us at or prior to the Annual Meeting. If you hold Common Shares in street name, through a brokerage firm, bank or other nominee, and have voted by proxy, please contact your brokerage firm, bank or other nominee if you wish to change your vote.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cost of preparing, assembling and mailing this Proxy Statement and the accompanying Annual Report, the Notice of Annual Meeting and the enclosed proxy is to be borne by us. In addition to the use of mail, our directors and officers may solicit proxies personally, by telephone, electronically or by other means of communication. These directors and officers will receive no compensation for soliciting proxies (other than their regular compensation). We may request banks, brokers and other custodians, nominees and fiduciaries to forward copies of the proxy materials to their principals and to request authority for the execution of proxies. We will reimburse such persons for their expenses in doing so. </w:t>
      </w:r>
    </w:p>
    <w:p>
      <w:pPr>
        <w:pStyle w:val="TextBody"/>
        <w:bidi w:val="0"/>
        <w:spacing w:before="240" w:after="0"/>
        <w:jc w:val="left"/>
        <w:rPr>
          <w:rFonts w:ascii="Times New Roman" w:hAnsi="Times New Roman"/>
          <w:sz w:val="20"/>
        </w:rPr>
      </w:pPr>
      <w:r>
        <w:rPr>
          <w:rFonts w:ascii="Times New Roman" w:hAnsi="Times New Roman"/>
          <w:sz w:val="20"/>
        </w:rPr>
        <w:t xml:space="preserve">Copies of proxy materials for the Annual Meeting will also be available on the Company’s website at </w:t>
      </w:r>
      <w:r>
        <w:rPr>
          <w:rFonts w:ascii="Times New Roman" w:hAnsi="Times New Roman"/>
          <w:sz w:val="20"/>
          <w:u w:val="single"/>
        </w:rPr>
        <w:t>www.capitalcleanenergycarriers.com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PURPOSES OF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our Shareholders will consider and vote upon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elect eight directors to serve until the 2027 Annual Meeting of Shareholders, and until their successors are elected and qualified (“</w:t>
            </w:r>
            <w:r>
              <w:rPr>
                <w:rFonts w:ascii="Times New Roman" w:hAnsi="Times New Roman"/>
                <w:i/>
                <w:sz w:val="20"/>
              </w:rPr>
              <w:t>Proposal One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ratify the appointment of Deloitte Certified Public Accountants S.A. as our independent registered public accounting firm for the fiscal year ending December 31, 2026 (“</w:t>
            </w:r>
            <w:r>
              <w:rPr>
                <w:rFonts w:ascii="Times New Roman" w:hAnsi="Times New Roman"/>
                <w:i/>
                <w:sz w:val="20"/>
              </w:rPr>
              <w:t>Proposal Two</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and any adjournments or postponements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contrary instructions are indicated on your proxy, all Common Shares represented by valid proxies received pursuant to this solicitation (and which have not been revoked in accordance with the procedures set forth herein) will be voted (a) for the election of the nominee directors named below, and (b) to ratify the appointment of Deloitte Certified Public Accountants S.A. as our independent registered public accounting firm for the fiscal year ending December 31, 2026. The Board of Directors knows of no other business that may properly come before the Annual Meeting; however, if other matters properly come before the Annual Meeting, it is intended that the persons named in the proxy will vote thereon in accordance with their best judgment. In the event a Shareholder specifies a different choice by means of the Shareholder’s proxy, the Shareholder’s Common Shares will be voted in accordance with the specification so made. </w:t>
      </w:r>
    </w:p>
    <w:p>
      <w:pPr>
        <w:pStyle w:val="TextBody"/>
        <w:bidi w:val="0"/>
        <w:spacing w:before="480" w:after="0"/>
        <w:jc w:val="center"/>
        <w:rPr>
          <w:rFonts w:ascii="Times New Roman" w:hAnsi="Times New Roman"/>
          <w:b/>
          <w:sz w:val="20"/>
        </w:rPr>
      </w:pPr>
      <w:r>
        <w:rPr>
          <w:rFonts w:ascii="Times New Roman" w:hAnsi="Times New Roman"/>
          <w:b/>
          <w:sz w:val="20"/>
        </w:rPr>
        <w:t xml:space="preserve">OUTSTANDING VOTING SECURITIES AND VOTING RIGHTS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previously set the close of business on July 24, 2026 as the record date for determining which of our Shareholders are entitled to notice of, and to vote at, the Annual Meeting. As of the record date, there were 60,233,688 outstanding Common Shares (excluding 927,151 Common Shares held in treasury) that are entitled to be voted at the Annual Meeting. Each Common Share is entitled to one vote on each matter submitted to Shareholders for approval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 subject to the following quorum and voting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attendance, in person or by proxy, of one or more Shareholders holding at least one-third of the total voting power of the outstanding Common Shares entitled to vote at the Annual Meeting shall constitute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a majority of the votes cast by holders of the Common Shares represented in person or by proxy at the Annual Meeting at which there is quorum will be required for the election of each director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a majority of the votes cast by holders of the Common Shares represented in person or by proxy at the Annual Meeting at which there is quorum will be required to approve the ratification of the appointment of our auditors.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absence of a quorum, the holders of a majority of the voting power of the outstanding Common Shares present at the Annual Meeting in person or by proxy may adjourn the meeting.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Annual Meeting, we will select one or more inspectors of election for the meeting. Such inspector(s) shall determine the number of Common Shares outstanding and the voting power of each, the number of Common Shares represented at the Annual Meeting, the existence of a quorum and the validity and effect of proxies, and shall receive, count and tabulate ballots and votes and determine the results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Your vote is important: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Abstentions will be considered as shares present and entitled to vote at the Annual Meeting, but will not be counted as votes cast for or against any given matter.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Common Shares are held in street name through a bank or broker, your bank or broker may vote your shares under certain circumstances if you do not provide voting instructions before the Annual Meeting, in accordance with New York Stock Exchange rules that govern the banks and brokers. These circumstances include “routine matters”, such as the ratification of the appointment of our independent registered public accounting firm described in this Proxy Statement. Thus, if you do not vote your Common Shares with respect to this matter, your bank or broker may vote your Common Shares on your behalf or leave your Common Shares unvoted.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of directors is not considered a “routine matter”. Thus, if you do not vote your Common Shares with respect to this matter, your bank or broker may not vote your Common Shares, and your Common Shares will be left unvoted on the matter. </w:t>
            </w:r>
          </w:p>
        </w:tc>
      </w:tr>
    </w:tbl>
    <w:p>
      <w:pPr>
        <w:pStyle w:val="TextBody"/>
        <w:bidi w:val="0"/>
        <w:spacing w:before="240" w:after="0"/>
        <w:jc w:val="left"/>
        <w:rPr/>
      </w:pPr>
      <w:r>
        <w:rPr/>
        <w:t>“</w:t>
      </w:r>
      <w:r>
        <w:rPr>
          <w:rFonts w:ascii="Times New Roman" w:hAnsi="Times New Roman"/>
          <w:sz w:val="20"/>
        </w:rPr>
        <w:t xml:space="preserve">Broker non-votes” occur when Common Shares represented by proxies received from a bank or broker are not voted </w:t>
      </w:r>
      <w:r>
        <w:rPr>
          <w:rFonts w:ascii="Times New Roman" w:hAnsi="Times New Roman"/>
          <w:i/>
          <w:sz w:val="20"/>
        </w:rPr>
        <w:t xml:space="preserve">on a matter </w:t>
      </w:r>
      <w:r>
        <w:rPr>
          <w:rFonts w:ascii="Times New Roman" w:hAnsi="Times New Roman"/>
          <w:sz w:val="20"/>
        </w:rPr>
        <w:t xml:space="preserve">because the bank or broker did not receive voting instructions from the bank or broker’s customer. Broker non-votes will be treated the same as abstentions, which means the Common Shares will be deemed to be present at the Annual Meeting for purposes of determining whether a quorum exists, provided that the Common Shares have been voted on at least one matter. In tabulating the votes for any particular proposal, Common Shares that constitute broker non-votes or abstentions are not considered shares present and entitled to vote with respect to </w:t>
      </w:r>
      <w:r>
        <w:rPr>
          <w:rFonts w:ascii="Times New Roman" w:hAnsi="Times New Roman"/>
          <w:i/>
          <w:sz w:val="20"/>
        </w:rPr>
        <w:t>the matter on which the broker has not voted or the abstention has been received</w:t>
      </w:r>
      <w:r>
        <w:rPr>
          <w:rFonts w:ascii="Times New Roman" w:hAnsi="Times New Roman"/>
          <w:sz w:val="20"/>
        </w:rPr>
        <w:t xml:space="preserve">. Thus, abstentions and broker non-votes will not have an effect on such matter because they will not be counted as votes cast, but they may have an effect on whether a quorum is present. </w:t>
      </w:r>
    </w:p>
    <w:p>
      <w:pPr>
        <w:pStyle w:val="TextBody"/>
        <w:bidi w:val="0"/>
        <w:spacing w:before="240" w:after="0"/>
        <w:jc w:val="left"/>
        <w:rPr>
          <w:rFonts w:ascii="Times New Roman" w:hAnsi="Times New Roman"/>
          <w:sz w:val="20"/>
        </w:rPr>
      </w:pPr>
      <w:r>
        <w:rPr>
          <w:rFonts w:ascii="Times New Roman" w:hAnsi="Times New Roman"/>
          <w:sz w:val="20"/>
          <w:u w:val="single"/>
        </w:rPr>
        <w:t>INTERNET AVAILABILITY FOR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your proxy card, you may vote your Common Shares by accessing </w:t>
      </w:r>
      <w:r>
        <w:rPr>
          <w:rFonts w:ascii="Times New Roman" w:hAnsi="Times New Roman"/>
          <w:sz w:val="20"/>
          <w:u w:val="single"/>
        </w:rPr>
        <w:t>www.proxyvote.com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1: ELECTION OF DIRECTORS </w:t>
      </w:r>
    </w:p>
    <w:p>
      <w:pPr>
        <w:pStyle w:val="TextBody"/>
        <w:bidi w:val="0"/>
        <w:spacing w:before="240" w:after="0"/>
        <w:jc w:val="left"/>
        <w:rPr>
          <w:rFonts w:ascii="Times New Roman" w:hAnsi="Times New Roman"/>
          <w:sz w:val="20"/>
        </w:rPr>
      </w:pPr>
      <w:r>
        <w:rPr>
          <w:rFonts w:ascii="Times New Roman" w:hAnsi="Times New Roman"/>
          <w:sz w:val="20"/>
        </w:rPr>
        <w:t>Our Articles of Incorporation provide that our Board of Directors shall consist of not fewer than three nor more than 11 directors. Pursuant to our Shareholders’ Agreement dated August 26, 2024 (the “</w:t>
      </w:r>
      <w:r>
        <w:rPr>
          <w:rFonts w:ascii="Times New Roman" w:hAnsi="Times New Roman"/>
          <w:i/>
          <w:sz w:val="20"/>
        </w:rPr>
        <w:t>Shareholders’ Agreement</w:t>
      </w:r>
      <w:r>
        <w:rPr>
          <w:rFonts w:ascii="Times New Roman" w:hAnsi="Times New Roman"/>
          <w:sz w:val="20"/>
        </w:rPr>
        <w:t>”) with Capital Maritime &amp; Trading Corp. (“</w:t>
      </w:r>
      <w:r>
        <w:rPr>
          <w:rFonts w:ascii="Times New Roman" w:hAnsi="Times New Roman"/>
          <w:i/>
          <w:sz w:val="20"/>
        </w:rPr>
        <w:t>Capital Maritime</w:t>
      </w:r>
      <w:r>
        <w:rPr>
          <w:rFonts w:ascii="Times New Roman" w:hAnsi="Times New Roman"/>
          <w:sz w:val="20"/>
        </w:rPr>
        <w:t>”), CGP LLC and Capital Gas Corp. (“</w:t>
      </w:r>
      <w:r>
        <w:rPr>
          <w:rFonts w:ascii="Times New Roman" w:hAnsi="Times New Roman"/>
          <w:i/>
          <w:sz w:val="20"/>
        </w:rPr>
        <w:t>Capital Gas</w:t>
      </w:r>
      <w:r>
        <w:rPr>
          <w:rFonts w:ascii="Times New Roman" w:hAnsi="Times New Roman"/>
          <w:sz w:val="20"/>
        </w:rPr>
        <w:t>” and together with Capital Maritime and CGP LLC, the “</w:t>
      </w:r>
      <w:r>
        <w:rPr>
          <w:rFonts w:ascii="Times New Roman" w:hAnsi="Times New Roman"/>
          <w:i/>
          <w:sz w:val="20"/>
        </w:rPr>
        <w:t>Capital Parties</w:t>
      </w:r>
      <w:r>
        <w:rPr>
          <w:rFonts w:ascii="Times New Roman" w:hAnsi="Times New Roman"/>
          <w:sz w:val="20"/>
        </w:rPr>
        <w:t xml:space="preserve">”), for as long as Capital Maritime and its affiliates have the right to designate for nomination for election to the Board of Directors at least one individual, the size of our Board of Directors shall be eight. Each of the following currently serves as a director: Martin Houston, Keith Forman, Gerasimos (Jerry) Kalogiratos, Dimitris P. Christacopoulos, Gurpal Grewal, Rory Hussey, Atsunori Kozuki, and Eleni Tsoukala. Directors elected at meetings of Shareholders shall hold office until the next annual meeting of Shareholders, and until their successors are elected and qualified or until their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Gurpal Grewal, who joined our Board of Directors on November 16, 2017 and will hold office as Director until the upcoming Annual Meeting, will not stand for re-election at the Annual Meeting. The Board of Directors has nominated each of the other seven current directors as well as Janet DiFiore for re-election or election (as applicable) as director at the Annual Meeting, to serve from the Annual Meeting until the 2027 Annual Meeting of Shareholders and until a successor is duly elected and qualified or until his or her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Pursuant to the Shareholders’ Agreement, in connection with each annual meeting of Shareholders, until the date on which Capital Maritime and its affiliates cease to own at least 25% of the outstanding Common Shares, Capital Maritime and its affiliates will have the right to designate three individuals for nomination to the Board of Directors, who shall be reasonably acceptable to the Nominating Committee. If the holdings of Capital Maritime and its affiliates fall below 25% but remain above 15% of the outstanding Common Shares, Capital Maritime and its affiliates thereafter will have the right to so designate two individuals. If the holdings of Capital Maritime and its affiliates fall below 15% but remain above 5% of the outstanding Common Shares, Capital Maritime and its affiliates thereafter will have the right to so designate one individual. If the holdings of Capital Maritime and its affiliates fall below 5%, Capital Maritime thereafter will no longer have any rights to designate individuals for nomination. For so long as Capital Maritime and its affiliates have the right to designate for nomination to the Board of Directors at least one individual pursuant to the Shareholders’ Agreement, we are required to include, and cause the Nominating Committee to include, any such individual in the slate of nominees recommended by the Nominating Committee to holders of Common Shares for election to the Board of Directors. The remaining nominees for election to the Board of Directors are nominated by the Nominating Committee. As of August 6, 2026, Capital Maritime and its affiliates own approximately 58.9% of the outstanding Common Shares (based on 60,212,098 Common Shares outstanding and excluding 880,086 Common Shares held in treasury). See “</w:t>
      </w:r>
      <w:r>
        <w:rPr>
          <w:rFonts w:ascii="Times New Roman" w:hAnsi="Times New Roman"/>
          <w:i/>
          <w:sz w:val="20"/>
        </w:rPr>
        <w:t>Security Ownership of Certain Beneficial Owners and Management</w:t>
      </w:r>
      <w:r>
        <w:rPr>
          <w:rFonts w:ascii="Times New Roman" w:hAnsi="Times New Roman"/>
          <w:sz w:val="20"/>
        </w:rPr>
        <w:t xml:space="preserve">” below. Capital Maritime and its affiliates have designated Gerasimos (Jerry) Kalogiratos, Janet DiFiore and Atsunori Kozuki for nomination to the Board of Directors. </w:t>
      </w:r>
    </w:p>
    <w:p>
      <w:pPr>
        <w:pStyle w:val="TextBody"/>
        <w:bidi w:val="0"/>
        <w:spacing w:before="240" w:after="0"/>
        <w:jc w:val="left"/>
        <w:rPr>
          <w:rFonts w:ascii="Times New Roman" w:hAnsi="Times New Roman"/>
          <w:sz w:val="20"/>
        </w:rPr>
      </w:pPr>
      <w:r>
        <w:rPr>
          <w:rFonts w:ascii="Times New Roman" w:hAnsi="Times New Roman"/>
          <w:sz w:val="20"/>
        </w:rPr>
        <w:t>The Board of Directors has formed the following Board committees: an audit committee (the “</w:t>
      </w:r>
      <w:r>
        <w:rPr>
          <w:rFonts w:ascii="Times New Roman" w:hAnsi="Times New Roman"/>
          <w:i/>
          <w:sz w:val="20"/>
        </w:rPr>
        <w:t>Audit Committee</w:t>
      </w:r>
      <w:r>
        <w:rPr>
          <w:rFonts w:ascii="Times New Roman" w:hAnsi="Times New Roman"/>
          <w:sz w:val="20"/>
        </w:rPr>
        <w:t>”), a compensation committee (the “</w:t>
      </w:r>
      <w:r>
        <w:rPr>
          <w:rFonts w:ascii="Times New Roman" w:hAnsi="Times New Roman"/>
          <w:i/>
          <w:sz w:val="20"/>
        </w:rPr>
        <w:t>Compensation Committee</w:t>
      </w:r>
      <w:r>
        <w:rPr>
          <w:rFonts w:ascii="Times New Roman" w:hAnsi="Times New Roman"/>
          <w:sz w:val="20"/>
        </w:rPr>
        <w:t>”), a conflicts committee (the “</w:t>
      </w:r>
      <w:r>
        <w:rPr>
          <w:rFonts w:ascii="Times New Roman" w:hAnsi="Times New Roman"/>
          <w:i/>
          <w:sz w:val="20"/>
        </w:rPr>
        <w:t>Conflicts Committee</w:t>
      </w:r>
      <w:r>
        <w:rPr>
          <w:rFonts w:ascii="Times New Roman" w:hAnsi="Times New Roman"/>
          <w:sz w:val="20"/>
        </w:rPr>
        <w:t>”) and a nominating committee (the “</w:t>
      </w:r>
      <w:r>
        <w:rPr>
          <w:rFonts w:ascii="Times New Roman" w:hAnsi="Times New Roman"/>
          <w:i/>
          <w:sz w:val="20"/>
        </w:rPr>
        <w:t>Nominating Committee</w:t>
      </w:r>
      <w:r>
        <w:rPr>
          <w:rFonts w:ascii="Times New Roman" w:hAnsi="Times New Roman"/>
          <w:sz w:val="20"/>
        </w:rPr>
        <w:t>”). In addition to the Board committees, the Board has formed an environmental, social and governance committee (the “</w:t>
      </w:r>
      <w:r>
        <w:rPr>
          <w:rFonts w:ascii="Times New Roman" w:hAnsi="Times New Roman"/>
          <w:i/>
          <w:sz w:val="20"/>
        </w:rPr>
        <w:t>ESG Committee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Nominees </w:t>
      </w:r>
    </w:p>
    <w:p>
      <w:pPr>
        <w:pStyle w:val="TextBody"/>
        <w:bidi w:val="0"/>
        <w:spacing w:before="120" w:after="0"/>
        <w:jc w:val="left"/>
        <w:rPr>
          <w:rFonts w:ascii="Times New Roman" w:hAnsi="Times New Roman"/>
          <w:i/>
          <w:sz w:val="20"/>
        </w:rPr>
      </w:pPr>
      <w:r>
        <w:rPr>
          <w:rFonts w:ascii="Times New Roman" w:hAnsi="Times New Roman"/>
          <w:i/>
          <w:sz w:val="20"/>
        </w:rPr>
        <w:t xml:space="preserve">The accompanying form of proxy, when properly executed and returned to the Company, will be voted FOR the election as director of each person named below, unless the proxy contains contrary instructions. Management has no reason to believe that the nominee is unable or unwilling to serve if elected. If the nominee should become unable or unwilling to serve as a director, however, the proxy will be voted for the election of such other person as shall be recommended by the Nominating Committee and nominated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has nominated each of the following persons for re-election or election (as applicable) as directors, to serve until the 2027 Annual Meeting of Shareholders, and until their successors are elected and qualified: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2"/>
        <w:gridCol w:w="149"/>
        <w:gridCol w:w="3233"/>
        <w:gridCol w:w="149"/>
        <w:gridCol w:w="429"/>
        <w:gridCol w:w="149"/>
        <w:gridCol w:w="2986"/>
        <w:gridCol w:w="148"/>
        <w:gridCol w:w="2800"/>
      </w:tblGrid>
      <w:tr>
        <w:trPr/>
        <w:tc>
          <w:tcPr>
            <w:tcW w:w="16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r>
      <w:tr>
        <w:trPr/>
        <w:tc>
          <w:tcPr>
            <w:tcW w:w="16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49" w:type="dxa"/>
            <w:tcBorders/>
            <w:vAlign w:val="bottom"/>
          </w:tcPr>
          <w:p>
            <w:pPr>
              <w:pStyle w:val="TableContents"/>
              <w:bidi w:val="0"/>
              <w:spacing w:before="0" w:after="283"/>
              <w:jc w:val="left"/>
              <w:rPr/>
            </w:pPr>
            <w:r>
              <w:rPr/>
              <w:t>  </w:t>
            </w:r>
          </w:p>
        </w:tc>
        <w:tc>
          <w:tcPr>
            <w:tcW w:w="429"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49" w:type="dxa"/>
            <w:tcBorders/>
            <w:vAlign w:val="bottom"/>
          </w:tcPr>
          <w:p>
            <w:pPr>
              <w:pStyle w:val="TableContents"/>
              <w:bidi w:val="0"/>
              <w:spacing w:before="0" w:after="283"/>
              <w:jc w:val="left"/>
              <w:rPr/>
            </w:pPr>
            <w:r>
              <w:rPr/>
              <w:t>  </w:t>
            </w:r>
          </w:p>
        </w:tc>
        <w:tc>
          <w:tcPr>
            <w:tcW w:w="29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48" w:type="dxa"/>
            <w:tcBorders/>
            <w:vAlign w:val="bottom"/>
          </w:tcPr>
          <w:p>
            <w:pPr>
              <w:pStyle w:val="TableContents"/>
              <w:bidi w:val="0"/>
              <w:spacing w:before="0" w:after="283"/>
              <w:jc w:val="left"/>
              <w:rPr/>
            </w:pPr>
            <w:r>
              <w:rPr/>
              <w:t>  </w:t>
            </w:r>
          </w:p>
        </w:tc>
        <w:tc>
          <w:tcPr>
            <w:tcW w:w="28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Committee Membership</w:t>
            </w:r>
          </w:p>
        </w:tc>
      </w:tr>
      <w:tr>
        <w:trPr/>
        <w:tc>
          <w:tcPr>
            <w:tcW w:w="162" w:type="dxa"/>
            <w:tcBorders/>
          </w:tcPr>
          <w:p>
            <w:pPr>
              <w:pStyle w:val="TableContents"/>
              <w:bidi w:val="0"/>
              <w:spacing w:before="0" w:after="283"/>
              <w:jc w:val="left"/>
              <w:rPr/>
            </w:pPr>
            <w:r>
              <w:rPr/>
              <w:t>1.</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Martin Houston</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68</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 and Chairman of the Board of Directors</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w:t>
            </w:r>
          </w:p>
          <w:p>
            <w:pPr>
              <w:pStyle w:val="TableContents"/>
              <w:bidi w:val="0"/>
              <w:spacing w:before="0" w:after="20"/>
              <w:jc w:val="left"/>
              <w:rPr>
                <w:rFonts w:ascii="Times New Roman" w:hAnsi="Times New Roman"/>
                <w:sz w:val="20"/>
              </w:rPr>
            </w:pPr>
            <w:r>
              <w:rPr>
                <w:rFonts w:ascii="Times New Roman" w:hAnsi="Times New Roman"/>
                <w:sz w:val="20"/>
              </w:rPr>
              <w:t>Nominating Committee</w:t>
            </w:r>
          </w:p>
        </w:tc>
      </w:tr>
      <w:tr>
        <w:trPr>
          <w:trHeight w:val="120" w:hRule="atLeast"/>
        </w:trPr>
        <w:tc>
          <w:tcPr>
            <w:tcW w:w="162"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3135" w:type="dxa"/>
            <w:gridSpan w:val="2"/>
            <w:tcBorders/>
            <w:vAlign w:val="center"/>
          </w:tcPr>
          <w:p>
            <w:pPr>
              <w:pStyle w:val="TableContents"/>
              <w:bidi w:val="0"/>
              <w:spacing w:before="0" w:after="283"/>
              <w:jc w:val="left"/>
              <w:rPr>
                <w:sz w:val="4"/>
                <w:szCs w:val="4"/>
              </w:rPr>
            </w:pPr>
            <w:r>
              <w:rPr>
                <w:sz w:val="4"/>
                <w:szCs w:val="4"/>
              </w:rPr>
            </w:r>
          </w:p>
        </w:tc>
        <w:tc>
          <w:tcPr>
            <w:tcW w:w="2948" w:type="dxa"/>
            <w:gridSpan w:val="2"/>
            <w:tcBorders/>
            <w:vAlign w:val="center"/>
          </w:tcPr>
          <w:p>
            <w:pPr>
              <w:pStyle w:val="TableContents"/>
              <w:bidi w:val="0"/>
              <w:spacing w:before="0" w:after="283"/>
              <w:jc w:val="left"/>
              <w:rPr>
                <w:sz w:val="4"/>
                <w:szCs w:val="4"/>
              </w:rPr>
            </w:pPr>
            <w:r>
              <w:rPr>
                <w:sz w:val="4"/>
                <w:szCs w:val="4"/>
              </w:rPr>
            </w:r>
          </w:p>
        </w:tc>
      </w:tr>
      <w:tr>
        <w:trPr/>
        <w:tc>
          <w:tcPr>
            <w:tcW w:w="162" w:type="dxa"/>
            <w:tcBorders/>
          </w:tcPr>
          <w:p>
            <w:pPr>
              <w:pStyle w:val="TableContents"/>
              <w:bidi w:val="0"/>
              <w:spacing w:before="0" w:after="283"/>
              <w:jc w:val="left"/>
              <w:rPr/>
            </w:pPr>
            <w:r>
              <w:rPr/>
              <w:t>2.</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Keith Forman</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68</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 and Vice-Chairman of the Board of Directors</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 (Chair)</w:t>
            </w:r>
          </w:p>
          <w:p>
            <w:pPr>
              <w:pStyle w:val="TableContents"/>
              <w:bidi w:val="0"/>
              <w:spacing w:before="0" w:after="0"/>
              <w:jc w:val="left"/>
              <w:rPr>
                <w:rFonts w:ascii="Times New Roman" w:hAnsi="Times New Roman"/>
                <w:sz w:val="20"/>
              </w:rPr>
            </w:pPr>
            <w:r>
              <w:rPr>
                <w:rFonts w:ascii="Times New Roman" w:hAnsi="Times New Roman"/>
                <w:sz w:val="20"/>
              </w:rPr>
              <w:t>Compensation Committee</w:t>
            </w:r>
          </w:p>
          <w:p>
            <w:pPr>
              <w:pStyle w:val="TableContents"/>
              <w:bidi w:val="0"/>
              <w:spacing w:before="0" w:after="0"/>
              <w:jc w:val="left"/>
              <w:rPr>
                <w:rFonts w:ascii="Times New Roman" w:hAnsi="Times New Roman"/>
                <w:sz w:val="20"/>
              </w:rPr>
            </w:pPr>
            <w:r>
              <w:rPr>
                <w:rFonts w:ascii="Times New Roman" w:hAnsi="Times New Roman"/>
                <w:sz w:val="20"/>
              </w:rPr>
              <w:t>Conflicts Committee</w:t>
            </w:r>
          </w:p>
          <w:p>
            <w:pPr>
              <w:pStyle w:val="TableContents"/>
              <w:bidi w:val="0"/>
              <w:spacing w:before="0" w:after="20"/>
              <w:jc w:val="left"/>
              <w:rPr>
                <w:rFonts w:ascii="Times New Roman" w:hAnsi="Times New Roman"/>
                <w:sz w:val="20"/>
              </w:rPr>
            </w:pPr>
            <w:r>
              <w:rPr>
                <w:rFonts w:ascii="Times New Roman" w:hAnsi="Times New Roman"/>
                <w:sz w:val="20"/>
              </w:rPr>
              <w:t>ESG Committee (Chair)</w:t>
            </w:r>
          </w:p>
        </w:tc>
      </w:tr>
      <w:tr>
        <w:trPr>
          <w:trHeight w:val="120" w:hRule="atLeast"/>
        </w:trPr>
        <w:tc>
          <w:tcPr>
            <w:tcW w:w="162"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3135" w:type="dxa"/>
            <w:gridSpan w:val="2"/>
            <w:tcBorders/>
            <w:vAlign w:val="center"/>
          </w:tcPr>
          <w:p>
            <w:pPr>
              <w:pStyle w:val="TableContents"/>
              <w:bidi w:val="0"/>
              <w:spacing w:before="0" w:after="283"/>
              <w:jc w:val="left"/>
              <w:rPr>
                <w:sz w:val="4"/>
                <w:szCs w:val="4"/>
              </w:rPr>
            </w:pPr>
            <w:r>
              <w:rPr>
                <w:sz w:val="4"/>
                <w:szCs w:val="4"/>
              </w:rPr>
            </w:r>
          </w:p>
        </w:tc>
        <w:tc>
          <w:tcPr>
            <w:tcW w:w="2948" w:type="dxa"/>
            <w:gridSpan w:val="2"/>
            <w:tcBorders/>
            <w:vAlign w:val="center"/>
          </w:tcPr>
          <w:p>
            <w:pPr>
              <w:pStyle w:val="TableContents"/>
              <w:bidi w:val="0"/>
              <w:spacing w:before="0" w:after="283"/>
              <w:jc w:val="left"/>
              <w:rPr>
                <w:sz w:val="4"/>
                <w:szCs w:val="4"/>
              </w:rPr>
            </w:pPr>
            <w:r>
              <w:rPr>
                <w:sz w:val="4"/>
                <w:szCs w:val="4"/>
              </w:rPr>
            </w:r>
          </w:p>
        </w:tc>
      </w:tr>
      <w:tr>
        <w:trPr/>
        <w:tc>
          <w:tcPr>
            <w:tcW w:w="162" w:type="dxa"/>
            <w:tcBorders/>
          </w:tcPr>
          <w:p>
            <w:pPr>
              <w:pStyle w:val="TableContents"/>
              <w:bidi w:val="0"/>
              <w:spacing w:before="0" w:after="283"/>
              <w:jc w:val="left"/>
              <w:rPr/>
            </w:pPr>
            <w:r>
              <w:rPr/>
              <w:t>3.</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Gerasimos (Jerry) Kalogiratos</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49</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 and Chief Executive Officer</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283"/>
              <w:jc w:val="left"/>
              <w:rPr/>
            </w:pPr>
            <w:r>
              <w:rPr/>
              <w:t>ESG Committee</w:t>
            </w:r>
          </w:p>
        </w:tc>
      </w:tr>
      <w:tr>
        <w:trPr>
          <w:trHeight w:val="120" w:hRule="atLeast"/>
        </w:trPr>
        <w:tc>
          <w:tcPr>
            <w:tcW w:w="162"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3135" w:type="dxa"/>
            <w:gridSpan w:val="2"/>
            <w:tcBorders/>
            <w:vAlign w:val="center"/>
          </w:tcPr>
          <w:p>
            <w:pPr>
              <w:pStyle w:val="TableContents"/>
              <w:bidi w:val="0"/>
              <w:spacing w:before="0" w:after="283"/>
              <w:jc w:val="left"/>
              <w:rPr>
                <w:sz w:val="4"/>
                <w:szCs w:val="4"/>
              </w:rPr>
            </w:pPr>
            <w:r>
              <w:rPr>
                <w:sz w:val="4"/>
                <w:szCs w:val="4"/>
              </w:rPr>
            </w:r>
          </w:p>
        </w:tc>
        <w:tc>
          <w:tcPr>
            <w:tcW w:w="2948" w:type="dxa"/>
            <w:gridSpan w:val="2"/>
            <w:tcBorders/>
            <w:vAlign w:val="center"/>
          </w:tcPr>
          <w:p>
            <w:pPr>
              <w:pStyle w:val="TableContents"/>
              <w:bidi w:val="0"/>
              <w:spacing w:before="0" w:after="283"/>
              <w:jc w:val="left"/>
              <w:rPr>
                <w:sz w:val="4"/>
                <w:szCs w:val="4"/>
              </w:rPr>
            </w:pPr>
            <w:r>
              <w:rPr>
                <w:sz w:val="4"/>
                <w:szCs w:val="4"/>
              </w:rPr>
            </w:r>
          </w:p>
        </w:tc>
      </w:tr>
      <w:tr>
        <w:trPr/>
        <w:tc>
          <w:tcPr>
            <w:tcW w:w="162" w:type="dxa"/>
            <w:tcBorders/>
          </w:tcPr>
          <w:p>
            <w:pPr>
              <w:pStyle w:val="TableContents"/>
              <w:bidi w:val="0"/>
              <w:spacing w:before="0" w:after="283"/>
              <w:jc w:val="left"/>
              <w:rPr/>
            </w:pPr>
            <w:r>
              <w:rPr/>
              <w:t>4.</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Dimitris P. Christacopoulos</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55</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w:t>
            </w:r>
          </w:p>
          <w:p>
            <w:pPr>
              <w:pStyle w:val="TableContents"/>
              <w:bidi w:val="0"/>
              <w:spacing w:before="0" w:after="0"/>
              <w:jc w:val="left"/>
              <w:rPr>
                <w:rFonts w:ascii="Times New Roman" w:hAnsi="Times New Roman"/>
                <w:sz w:val="20"/>
              </w:rPr>
            </w:pPr>
            <w:r>
              <w:rPr>
                <w:rFonts w:ascii="Times New Roman" w:hAnsi="Times New Roman"/>
                <w:sz w:val="20"/>
              </w:rPr>
              <w:t>Conflicts Committee (Chair)</w:t>
            </w:r>
          </w:p>
          <w:p>
            <w:pPr>
              <w:pStyle w:val="TableContents"/>
              <w:bidi w:val="0"/>
              <w:spacing w:before="0" w:after="20"/>
              <w:jc w:val="left"/>
              <w:rPr>
                <w:rFonts w:ascii="Times New Roman" w:hAnsi="Times New Roman"/>
                <w:sz w:val="20"/>
              </w:rPr>
            </w:pPr>
            <w:r>
              <w:rPr>
                <w:rFonts w:ascii="Times New Roman" w:hAnsi="Times New Roman"/>
                <w:sz w:val="20"/>
              </w:rPr>
              <w:t>Nominating Committee</w:t>
            </w:r>
          </w:p>
        </w:tc>
      </w:tr>
      <w:tr>
        <w:trPr>
          <w:trHeight w:val="120" w:hRule="atLeast"/>
        </w:trPr>
        <w:tc>
          <w:tcPr>
            <w:tcW w:w="162"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3135" w:type="dxa"/>
            <w:gridSpan w:val="2"/>
            <w:tcBorders/>
            <w:vAlign w:val="center"/>
          </w:tcPr>
          <w:p>
            <w:pPr>
              <w:pStyle w:val="TableContents"/>
              <w:bidi w:val="0"/>
              <w:spacing w:before="0" w:after="283"/>
              <w:jc w:val="left"/>
              <w:rPr>
                <w:sz w:val="4"/>
                <w:szCs w:val="4"/>
              </w:rPr>
            </w:pPr>
            <w:r>
              <w:rPr>
                <w:sz w:val="4"/>
                <w:szCs w:val="4"/>
              </w:rPr>
            </w:r>
          </w:p>
        </w:tc>
        <w:tc>
          <w:tcPr>
            <w:tcW w:w="2948" w:type="dxa"/>
            <w:gridSpan w:val="2"/>
            <w:tcBorders/>
            <w:vAlign w:val="center"/>
          </w:tcPr>
          <w:p>
            <w:pPr>
              <w:pStyle w:val="TableContents"/>
              <w:bidi w:val="0"/>
              <w:spacing w:before="0" w:after="283"/>
              <w:jc w:val="left"/>
              <w:rPr>
                <w:sz w:val="4"/>
                <w:szCs w:val="4"/>
              </w:rPr>
            </w:pPr>
            <w:r>
              <w:rPr>
                <w:sz w:val="4"/>
                <w:szCs w:val="4"/>
              </w:rPr>
            </w:r>
          </w:p>
        </w:tc>
      </w:tr>
      <w:tr>
        <w:trPr/>
        <w:tc>
          <w:tcPr>
            <w:tcW w:w="162" w:type="dxa"/>
            <w:tcBorders/>
          </w:tcPr>
          <w:p>
            <w:pPr>
              <w:pStyle w:val="TableContents"/>
              <w:bidi w:val="0"/>
              <w:spacing w:before="0" w:after="283"/>
              <w:jc w:val="left"/>
              <w:rPr/>
            </w:pPr>
            <w:r>
              <w:rPr/>
              <w:t>5.</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Janet DiFiore</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71</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 Nominee</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283"/>
              <w:jc w:val="left"/>
              <w:rPr/>
            </w:pPr>
            <w:r>
              <w:rPr/>
              <w:t>— </w:t>
            </w:r>
          </w:p>
        </w:tc>
      </w:tr>
      <w:tr>
        <w:trPr>
          <w:trHeight w:val="120" w:hRule="atLeast"/>
        </w:trPr>
        <w:tc>
          <w:tcPr>
            <w:tcW w:w="162"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3135" w:type="dxa"/>
            <w:gridSpan w:val="2"/>
            <w:tcBorders/>
            <w:vAlign w:val="center"/>
          </w:tcPr>
          <w:p>
            <w:pPr>
              <w:pStyle w:val="TableContents"/>
              <w:bidi w:val="0"/>
              <w:spacing w:before="0" w:after="283"/>
              <w:jc w:val="left"/>
              <w:rPr>
                <w:sz w:val="4"/>
                <w:szCs w:val="4"/>
              </w:rPr>
            </w:pPr>
            <w:r>
              <w:rPr>
                <w:sz w:val="4"/>
                <w:szCs w:val="4"/>
              </w:rPr>
            </w:r>
          </w:p>
        </w:tc>
        <w:tc>
          <w:tcPr>
            <w:tcW w:w="2948" w:type="dxa"/>
            <w:gridSpan w:val="2"/>
            <w:tcBorders/>
            <w:vAlign w:val="center"/>
          </w:tcPr>
          <w:p>
            <w:pPr>
              <w:pStyle w:val="TableContents"/>
              <w:bidi w:val="0"/>
              <w:spacing w:before="0" w:after="283"/>
              <w:jc w:val="left"/>
              <w:rPr>
                <w:sz w:val="4"/>
                <w:szCs w:val="4"/>
              </w:rPr>
            </w:pPr>
            <w:r>
              <w:rPr>
                <w:sz w:val="4"/>
                <w:szCs w:val="4"/>
              </w:rPr>
            </w:r>
          </w:p>
        </w:tc>
      </w:tr>
      <w:tr>
        <w:trPr/>
        <w:tc>
          <w:tcPr>
            <w:tcW w:w="162" w:type="dxa"/>
            <w:tcBorders/>
          </w:tcPr>
          <w:p>
            <w:pPr>
              <w:pStyle w:val="TableContents"/>
              <w:bidi w:val="0"/>
              <w:spacing w:before="0" w:after="283"/>
              <w:jc w:val="left"/>
              <w:rPr/>
            </w:pPr>
            <w:r>
              <w:rPr/>
              <w:t>6.</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Rory Hussey</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74</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w:t>
            </w:r>
          </w:p>
          <w:p>
            <w:pPr>
              <w:pStyle w:val="TableContents"/>
              <w:bidi w:val="0"/>
              <w:spacing w:before="0" w:after="0"/>
              <w:jc w:val="left"/>
              <w:rPr>
                <w:rFonts w:ascii="Times New Roman" w:hAnsi="Times New Roman"/>
                <w:sz w:val="20"/>
              </w:rPr>
            </w:pPr>
            <w:r>
              <w:rPr>
                <w:rFonts w:ascii="Times New Roman" w:hAnsi="Times New Roman"/>
                <w:sz w:val="20"/>
              </w:rPr>
              <w:t>Conflicts Committee</w:t>
            </w:r>
          </w:p>
          <w:p>
            <w:pPr>
              <w:pStyle w:val="TableContents"/>
              <w:bidi w:val="0"/>
              <w:spacing w:before="0" w:after="20"/>
              <w:jc w:val="left"/>
              <w:rPr>
                <w:rFonts w:ascii="Times New Roman" w:hAnsi="Times New Roman"/>
                <w:sz w:val="20"/>
              </w:rPr>
            </w:pPr>
            <w:r>
              <w:rPr>
                <w:rFonts w:ascii="Times New Roman" w:hAnsi="Times New Roman"/>
                <w:sz w:val="20"/>
              </w:rPr>
              <w:t>Compensation Committee (Chair)</w:t>
            </w:r>
          </w:p>
        </w:tc>
      </w:tr>
      <w:tr>
        <w:trPr>
          <w:trHeight w:val="120" w:hRule="atLeast"/>
        </w:trPr>
        <w:tc>
          <w:tcPr>
            <w:tcW w:w="162"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3135" w:type="dxa"/>
            <w:gridSpan w:val="2"/>
            <w:tcBorders/>
            <w:vAlign w:val="center"/>
          </w:tcPr>
          <w:p>
            <w:pPr>
              <w:pStyle w:val="TableContents"/>
              <w:bidi w:val="0"/>
              <w:spacing w:before="0" w:after="283"/>
              <w:jc w:val="left"/>
              <w:rPr>
                <w:sz w:val="4"/>
                <w:szCs w:val="4"/>
              </w:rPr>
            </w:pPr>
            <w:r>
              <w:rPr>
                <w:sz w:val="4"/>
                <w:szCs w:val="4"/>
              </w:rPr>
            </w:r>
          </w:p>
        </w:tc>
        <w:tc>
          <w:tcPr>
            <w:tcW w:w="2948" w:type="dxa"/>
            <w:gridSpan w:val="2"/>
            <w:tcBorders/>
            <w:vAlign w:val="center"/>
          </w:tcPr>
          <w:p>
            <w:pPr>
              <w:pStyle w:val="TableContents"/>
              <w:bidi w:val="0"/>
              <w:spacing w:before="0" w:after="283"/>
              <w:jc w:val="left"/>
              <w:rPr>
                <w:sz w:val="4"/>
                <w:szCs w:val="4"/>
              </w:rPr>
            </w:pPr>
            <w:r>
              <w:rPr>
                <w:sz w:val="4"/>
                <w:szCs w:val="4"/>
              </w:rPr>
            </w:r>
          </w:p>
        </w:tc>
      </w:tr>
      <w:tr>
        <w:trPr/>
        <w:tc>
          <w:tcPr>
            <w:tcW w:w="162" w:type="dxa"/>
            <w:tcBorders/>
          </w:tcPr>
          <w:p>
            <w:pPr>
              <w:pStyle w:val="TableContents"/>
              <w:bidi w:val="0"/>
              <w:spacing w:before="0" w:after="283"/>
              <w:jc w:val="left"/>
              <w:rPr/>
            </w:pPr>
            <w:r>
              <w:rPr/>
              <w:t>7.</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Atsunori Kozuki</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67</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283"/>
              <w:jc w:val="left"/>
              <w:rPr/>
            </w:pPr>
            <w:r>
              <w:rPr/>
              <w:t>ESG Committee</w:t>
            </w:r>
          </w:p>
        </w:tc>
      </w:tr>
      <w:tr>
        <w:trPr>
          <w:trHeight w:val="120" w:hRule="atLeast"/>
        </w:trPr>
        <w:tc>
          <w:tcPr>
            <w:tcW w:w="162"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c>
          <w:tcPr>
            <w:tcW w:w="578" w:type="dxa"/>
            <w:gridSpan w:val="2"/>
            <w:tcBorders/>
            <w:vAlign w:val="center"/>
          </w:tcPr>
          <w:p>
            <w:pPr>
              <w:pStyle w:val="TableContents"/>
              <w:bidi w:val="0"/>
              <w:spacing w:before="0" w:after="283"/>
              <w:jc w:val="left"/>
              <w:rPr>
                <w:sz w:val="4"/>
                <w:szCs w:val="4"/>
              </w:rPr>
            </w:pPr>
            <w:r>
              <w:rPr>
                <w:sz w:val="4"/>
                <w:szCs w:val="4"/>
              </w:rPr>
            </w:r>
          </w:p>
        </w:tc>
        <w:tc>
          <w:tcPr>
            <w:tcW w:w="3135" w:type="dxa"/>
            <w:gridSpan w:val="2"/>
            <w:tcBorders/>
            <w:vAlign w:val="center"/>
          </w:tcPr>
          <w:p>
            <w:pPr>
              <w:pStyle w:val="TableContents"/>
              <w:bidi w:val="0"/>
              <w:spacing w:before="0" w:after="283"/>
              <w:jc w:val="left"/>
              <w:rPr>
                <w:sz w:val="4"/>
                <w:szCs w:val="4"/>
              </w:rPr>
            </w:pPr>
            <w:r>
              <w:rPr>
                <w:sz w:val="4"/>
                <w:szCs w:val="4"/>
              </w:rPr>
            </w:r>
          </w:p>
        </w:tc>
        <w:tc>
          <w:tcPr>
            <w:tcW w:w="2948" w:type="dxa"/>
            <w:gridSpan w:val="2"/>
            <w:tcBorders/>
            <w:vAlign w:val="center"/>
          </w:tcPr>
          <w:p>
            <w:pPr>
              <w:pStyle w:val="TableContents"/>
              <w:bidi w:val="0"/>
              <w:spacing w:before="0" w:after="283"/>
              <w:jc w:val="left"/>
              <w:rPr>
                <w:sz w:val="4"/>
                <w:szCs w:val="4"/>
              </w:rPr>
            </w:pPr>
            <w:r>
              <w:rPr>
                <w:sz w:val="4"/>
                <w:szCs w:val="4"/>
              </w:rPr>
            </w:r>
          </w:p>
        </w:tc>
      </w:tr>
      <w:tr>
        <w:trPr/>
        <w:tc>
          <w:tcPr>
            <w:tcW w:w="162" w:type="dxa"/>
            <w:tcBorders/>
          </w:tcPr>
          <w:p>
            <w:pPr>
              <w:pStyle w:val="TableContents"/>
              <w:bidi w:val="0"/>
              <w:spacing w:before="0" w:after="283"/>
              <w:jc w:val="left"/>
              <w:rPr/>
            </w:pPr>
            <w:r>
              <w:rPr/>
              <w:t>8.</w:t>
            </w:r>
          </w:p>
        </w:tc>
        <w:tc>
          <w:tcPr>
            <w:tcW w:w="149"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Eleni Tsoukala</w:t>
            </w:r>
          </w:p>
        </w:tc>
        <w:tc>
          <w:tcPr>
            <w:tcW w:w="149" w:type="dxa"/>
            <w:tcBorders/>
            <w:vAlign w:val="bottom"/>
          </w:tcPr>
          <w:p>
            <w:pPr>
              <w:pStyle w:val="TableContents"/>
              <w:bidi w:val="0"/>
              <w:spacing w:before="0" w:after="283"/>
              <w:jc w:val="left"/>
              <w:rPr/>
            </w:pPr>
            <w:r>
              <w:rPr/>
              <w:t>  </w:t>
            </w:r>
          </w:p>
        </w:tc>
        <w:tc>
          <w:tcPr>
            <w:tcW w:w="429" w:type="dxa"/>
            <w:tcBorders/>
          </w:tcPr>
          <w:p>
            <w:pPr>
              <w:pStyle w:val="TableContents"/>
              <w:bidi w:val="0"/>
              <w:spacing w:before="0" w:after="283"/>
              <w:jc w:val="left"/>
              <w:rPr/>
            </w:pPr>
            <w:r>
              <w:rPr/>
              <w:t>49</w:t>
            </w:r>
          </w:p>
        </w:tc>
        <w:tc>
          <w:tcPr>
            <w:tcW w:w="149" w:type="dxa"/>
            <w:tcBorders/>
            <w:vAlign w:val="bottom"/>
          </w:tcPr>
          <w:p>
            <w:pPr>
              <w:pStyle w:val="TableContents"/>
              <w:bidi w:val="0"/>
              <w:spacing w:before="0" w:after="283"/>
              <w:jc w:val="left"/>
              <w:rPr/>
            </w:pPr>
            <w:r>
              <w:rPr/>
              <w:t>  </w:t>
            </w:r>
          </w:p>
        </w:tc>
        <w:tc>
          <w:tcPr>
            <w:tcW w:w="2986" w:type="dxa"/>
            <w:tcBorders/>
          </w:tcPr>
          <w:p>
            <w:pPr>
              <w:pStyle w:val="TableContents"/>
              <w:bidi w:val="0"/>
              <w:spacing w:before="0" w:after="283"/>
              <w:jc w:val="left"/>
              <w:rPr/>
            </w:pPr>
            <w:r>
              <w:rPr/>
              <w:t>Director</w:t>
            </w:r>
          </w:p>
        </w:tc>
        <w:tc>
          <w:tcPr>
            <w:tcW w:w="148" w:type="dxa"/>
            <w:tcBorders/>
            <w:vAlign w:val="bottom"/>
          </w:tcPr>
          <w:p>
            <w:pPr>
              <w:pStyle w:val="TableContents"/>
              <w:bidi w:val="0"/>
              <w:spacing w:before="0" w:after="283"/>
              <w:jc w:val="left"/>
              <w:rPr/>
            </w:pPr>
            <w:r>
              <w:rPr/>
              <w:t>  </w:t>
            </w:r>
          </w:p>
        </w:tc>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w:t>
            </w:r>
          </w:p>
          <w:p>
            <w:pPr>
              <w:pStyle w:val="TableContents"/>
              <w:bidi w:val="0"/>
              <w:spacing w:before="0" w:after="0"/>
              <w:jc w:val="left"/>
              <w:rPr>
                <w:rFonts w:ascii="Times New Roman" w:hAnsi="Times New Roman"/>
                <w:sz w:val="20"/>
              </w:rPr>
            </w:pPr>
            <w:r>
              <w:rPr>
                <w:rFonts w:ascii="Times New Roman" w:hAnsi="Times New Roman"/>
                <w:sz w:val="20"/>
              </w:rPr>
              <w:t>Compensation Committee</w:t>
            </w:r>
          </w:p>
          <w:p>
            <w:pPr>
              <w:pStyle w:val="TableContents"/>
              <w:bidi w:val="0"/>
              <w:spacing w:before="0" w:after="0"/>
              <w:jc w:val="left"/>
              <w:rPr>
                <w:rFonts w:ascii="Times New Roman" w:hAnsi="Times New Roman"/>
                <w:sz w:val="20"/>
              </w:rPr>
            </w:pPr>
            <w:r>
              <w:rPr>
                <w:rFonts w:ascii="Times New Roman" w:hAnsi="Times New Roman"/>
                <w:sz w:val="20"/>
              </w:rPr>
              <w:t>Conflicts Committee</w:t>
            </w:r>
          </w:p>
          <w:p>
            <w:pPr>
              <w:pStyle w:val="TableContents"/>
              <w:bidi w:val="0"/>
              <w:spacing w:before="0" w:after="20"/>
              <w:jc w:val="left"/>
              <w:rPr>
                <w:rFonts w:ascii="Times New Roman" w:hAnsi="Times New Roman"/>
                <w:sz w:val="20"/>
              </w:rPr>
            </w:pPr>
            <w:r>
              <w:rPr>
                <w:rFonts w:ascii="Times New Roman" w:hAnsi="Times New Roman"/>
                <w:sz w:val="20"/>
              </w:rPr>
              <w:t>Nominating Committee (Chair)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with respect to each nominee is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Martin Houston </w:t>
      </w:r>
    </w:p>
    <w:p>
      <w:pPr>
        <w:pStyle w:val="TextBody"/>
        <w:bidi w:val="0"/>
        <w:spacing w:before="120" w:after="0"/>
        <w:jc w:val="left"/>
        <w:rPr>
          <w:rFonts w:ascii="Times New Roman" w:hAnsi="Times New Roman"/>
          <w:sz w:val="20"/>
        </w:rPr>
      </w:pPr>
      <w:r>
        <w:rPr>
          <w:rFonts w:ascii="Times New Roman" w:hAnsi="Times New Roman"/>
          <w:sz w:val="20"/>
        </w:rPr>
        <w:t xml:space="preserve">Mr. Houston joined our Board of Directors on September 22, 2025 and was appointed Chairman in March 2026. He currently serves on the Audit Committee and Nominating Committee. Mr. Houston began his career as a petroleum geologist in 1979 and has since accumulated 46 years of international leadership across the energy industry. He currently serves as Chairman of Omega Oil and Gas Ltd and is a Non-Executive Director of Energean plc, BUPA Arabia SA, CC Energy, and Singapore GasCo. He is also Senior Advisor at Moelis &amp; Company. In October 2024, he stepped down as Co-Founder and Executive Chairman of Tellurian Inc. following its sale. Prior to that, he retired from BG Group in 2014 as Chief Operating Officer and Executive Director after a 32-year career. Mr. Houston is a Merryck mentor and a Fellow of the Geological Society of London. He serves on the Advisory Board of Columbia University’s Center on Global Energy Policy, chairs the Philanthropic Board of Newcastle University, and was an invited member of the U.S. National Petroleum Council for 15 years. Since 2000, he has served on boards of directors across multiple jurisdictions, including companies listed on the FTSE, Nasdaq, ASE, ASX, and Tadāwul. He holds a BSc in Geology from Newcastle University and an MSc in Petroleum Geology from Imperial College London. </w:t>
      </w:r>
    </w:p>
    <w:p>
      <w:pPr>
        <w:pStyle w:val="TextBody"/>
        <w:bidi w:val="0"/>
        <w:spacing w:before="360" w:after="0"/>
        <w:jc w:val="left"/>
        <w:rPr>
          <w:rFonts w:ascii="Times New Roman" w:hAnsi="Times New Roman"/>
          <w:b/>
          <w:i/>
          <w:sz w:val="20"/>
        </w:rPr>
      </w:pPr>
      <w:r>
        <w:rPr>
          <w:rFonts w:ascii="Times New Roman" w:hAnsi="Times New Roman"/>
          <w:b/>
          <w:i/>
          <w:sz w:val="20"/>
        </w:rPr>
        <w:t xml:space="preserve">Keith Forman </w:t>
      </w:r>
    </w:p>
    <w:p>
      <w:pPr>
        <w:pStyle w:val="TextBody"/>
        <w:bidi w:val="0"/>
        <w:spacing w:before="120" w:after="0"/>
        <w:jc w:val="left"/>
        <w:rPr>
          <w:rFonts w:ascii="Times New Roman" w:hAnsi="Times New Roman"/>
          <w:sz w:val="20"/>
        </w:rPr>
      </w:pPr>
      <w:r>
        <w:rPr>
          <w:rFonts w:ascii="Times New Roman" w:hAnsi="Times New Roman"/>
          <w:sz w:val="20"/>
        </w:rPr>
        <w:t xml:space="preserve">Mr. Forman joined our Board of Directors on April 3, 2007 and assumed the role of Vice-Chairman in March 2026, having previously served as Chairman since October 2017. He currently serves on the Audit Committee, Conflicts Committee, Compensation Committee and ESG Committee. Mr. Forman joined our Board of Directors on April 3, 2007. From July 2022 until December 2023, Mr. Forman acted as a senior advisor to Kayne Anderson Capital Advisors, an alternative investment management firm focused on energy infrastructure and renewables. Mr. Forman served in a similar role at Industry Funds Management, an Australian fund manager investing in infrastructure projects worldwide, from 2012 to 2023. In January 2020, Mr. Forman began a fellowship at Harvard University’s Advanced Leadership Initiative which ended on December 31, 2021.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Mr. Forman has held a number of executive, director and advisory positions at investment companies and publicly traded limited partnerships throughout his career. Between December 2014 and December 2017, Mr. Forman served as president and chief executive officer of the now discontinued Rentech, Inc. Mr. Forman also served as a director of the general partner of CVR Partners between April 2016 and April 2017. Between November 2007 and March 2010, Mr. Forman was a partner and chief financial officer of Crestwood Midstream Partners, a private equity-backed investment partnership active in the midstream energy market. Prior to his tenure at Crestwood, Mr. Forman was senior vice president, finance for El Paso Corporation, vice president of El Paso Field Services, and from 1992 to 2003, chief financial officer of GulfTerra Energy Partners L.P., a publicly traded limited partnership. Mr. Forman holds a B.A. degree in economics and political science from Vanderbilt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Gerasimos (Jerry) Kalogiratos </w:t>
      </w:r>
    </w:p>
    <w:p>
      <w:pPr>
        <w:pStyle w:val="TextBody"/>
        <w:bidi w:val="0"/>
        <w:spacing w:before="120" w:after="0"/>
        <w:jc w:val="left"/>
        <w:rPr>
          <w:rFonts w:ascii="Times New Roman" w:hAnsi="Times New Roman"/>
          <w:sz w:val="20"/>
        </w:rPr>
      </w:pPr>
      <w:r>
        <w:rPr>
          <w:rFonts w:ascii="Times New Roman" w:hAnsi="Times New Roman"/>
          <w:sz w:val="20"/>
        </w:rPr>
        <w:t xml:space="preserve">Mr. Kalogiratos was appointed as the Chief Executive of CGP LLC in June 2015 and, in connection with the Conversion, was appointed as our Chief Executive Officer on the Effective Date. He currently serves on the ESG Committee. He had also previously served as Chief Financial Officer of CGP LLC until February 28, 2018, when he was succeeded by Mr. Nikolaos Kalapotharakos. He joined our Board of Directors in December 2014. Mr. Kalogiratos joined Capital Maritime &amp; Trading Corp. in 2005 and was part of the team that completed the IPO of Capital Product Partners L.P. in 2007. He has also served as Chief Financial Officer and director of NYSE-listed Crude Carriers Corp. before its merger with us in September 2011. Mr. Kalogiratos currently serves as Chief Executive Officer of Capital Tankers Corp., a company listed on Euronext Growth Oslo. He has over 20 years of experience in the shipping and finance industries, specializing in vessel acquisition and projects and shipping finance. Before he joined Capital Maritime, he worked in equity sales in Greece. He completed his MA in European Economics and Politics at the Humboldt University in Berlin and holds a B.A. degree in Politics, Philosophy and Economics from the University of Oxford in the United Kingdom and an Executive Finance degree from the London Business School. From March 2019 to July 2021, Mr. Kalogiratos served on the board of directors of NYSE listed Diamond S Shipping Inc. Mr. Kalogiratos also serves on the board of directors of CPLP Shipping Holdings PLC, the advisory committee of West P&amp;I Club and the board of directors of the MERC Foundation.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Dimitris P. Christacopoulos </w:t>
      </w:r>
    </w:p>
    <w:p>
      <w:pPr>
        <w:pStyle w:val="TextBody"/>
        <w:bidi w:val="0"/>
        <w:spacing w:before="120" w:after="0"/>
        <w:jc w:val="left"/>
        <w:rPr>
          <w:rFonts w:ascii="Times New Roman" w:hAnsi="Times New Roman"/>
          <w:sz w:val="20"/>
        </w:rPr>
      </w:pPr>
      <w:r>
        <w:rPr>
          <w:rFonts w:ascii="Times New Roman" w:hAnsi="Times New Roman"/>
          <w:sz w:val="20"/>
        </w:rPr>
        <w:t xml:space="preserve">Mr. Christacopoulos joined our Board of Directors on September 30, 2011, following our merger with NYSE-listed Crude Carriers, where he had served as a director since 2010. He serves on the Audit Committee, Conflicts Committee and Nominating Committee. Mr. Christacopoulos currently is a Senior Partner at Octane Management Consultants, the fastest growing Greek consulting firm. He specializes in the areas of corporate strategy, finance, and performance improvement, having led more than 500 assignments for leading organizations in Europe and the US. He started his professional career as an analyst in the R&amp;D Department of a major food producer in Greece in 1992 before joining Booz Allen &amp; Hamilton Consulting in 1995 in New York. He subsequently joined Barclays Capital as the Director for Strategic Planning in London from 1999 to 2002 at which time he became Director of Corporate Finance &amp; Strategy at Aspis Group of Companies in Athens. In 2005, he joined Fortis Bank NV/SA as a Director in the Energy, Commodities and Transportation Group and until 2010 acted as the Deputy Country Head for Greece, setting up the bank’s Greek operations and expanding its presence in ship and energy finance in the region. Mr. Christacopoulos has a diploma in chemical engineering from the National Technical University of Athens and an MBA from Columbia Business School in New York.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Rory Hussey </w:t>
      </w:r>
    </w:p>
    <w:p>
      <w:pPr>
        <w:pStyle w:val="TextBody"/>
        <w:bidi w:val="0"/>
        <w:spacing w:before="120" w:after="0"/>
        <w:jc w:val="left"/>
        <w:rPr>
          <w:rFonts w:ascii="Times New Roman" w:hAnsi="Times New Roman"/>
          <w:sz w:val="20"/>
        </w:rPr>
      </w:pPr>
      <w:r>
        <w:rPr>
          <w:rFonts w:ascii="Times New Roman" w:hAnsi="Times New Roman"/>
          <w:sz w:val="20"/>
        </w:rPr>
        <w:t xml:space="preserve">Mr. Rory Hussey joined our Board of Directors on September 8, 2017 and serves on the Conflicts Committee, Audit Committee and Compensation Committee. Until his retirement in 2017, Mr. Hussey served as a Managing Director of ING Bank N.V., in charge of ING’s ship finance business in Southern Europe and the Middle East. Mr. Hussey started his career with Citibank’s shipping team in 1974. He held a variety of positions within Ship Finance at Citibank and worked for 20 years in Hong Kong, New York, Taipei, and Athens. After returning to London, he headed Citi’s transportation finance syndications team. He joined ING Bank N.V. in 2001 in charge of shipping syndications before becoming head of Sales for the London Syndications team. Mr. Hussey subsequently returned to ship finance and became Managing Director of ING Bank N.V. in 2009. Mr. Hussey holds a M.Sc. (Econ) from the London School of Economics and Political Science.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Atsunori Kozuki </w:t>
      </w:r>
    </w:p>
    <w:p>
      <w:pPr>
        <w:pStyle w:val="TextBody"/>
        <w:bidi w:val="0"/>
        <w:spacing w:before="120" w:after="0"/>
        <w:jc w:val="left"/>
        <w:rPr>
          <w:rFonts w:ascii="Times New Roman" w:hAnsi="Times New Roman"/>
          <w:sz w:val="20"/>
        </w:rPr>
      </w:pPr>
      <w:r>
        <w:rPr>
          <w:rFonts w:ascii="Times New Roman" w:hAnsi="Times New Roman"/>
          <w:sz w:val="20"/>
        </w:rPr>
        <w:t xml:space="preserve">Mr. Atsunori Kozuki joined our Board of Directors on October 2, 2023 and serves on the ESG Committee. Mr. Kozuki served as Principal Project Developer and previously as General Manager for INPEX Corporation, in charge of LNG business development, marketing and shipping having established a solid LNG transportation stream for both Ichthys LNG Project and Prelude LNG Project. Mr. Kozuki has more than 36 years of experience in LNG business development, including shipping of 21 LNG carriers for chartering, owning and operation before he joined our Board of Directors. He started his career as Project Developer and then Project Manager for Nissho Iwai Corporation, where he developed new LNG projects between 1982 and 2002. From 1987 to 1990, he was a core member of the team that established an LNG Joint Venture with Pertamina. Before joining INPEX Corporation, Mr. Kozuki served from 2002 to 2003 as Executive Director and Officer of Nippon Colin Corporation and from 2003 to 2009 as a Director at Johnson &amp; Johnson K.K., in charge of new business development and R&amp;D in the medical sector. Mr. Kozuki possesses four patents including two business model patents. Mr. Kozuki holds an MSIA and an MBA from the Carnegie Mellon University School of Business and a B.A. degree in Economics from Keio University.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Eleni Tsoukala </w:t>
      </w:r>
    </w:p>
    <w:p>
      <w:pPr>
        <w:pStyle w:val="TextBody"/>
        <w:bidi w:val="0"/>
        <w:spacing w:before="120" w:after="0"/>
        <w:jc w:val="left"/>
        <w:rPr>
          <w:rFonts w:ascii="Times New Roman" w:hAnsi="Times New Roman"/>
          <w:sz w:val="20"/>
        </w:rPr>
      </w:pPr>
      <w:r>
        <w:rPr>
          <w:rFonts w:ascii="Times New Roman" w:hAnsi="Times New Roman"/>
          <w:sz w:val="20"/>
        </w:rPr>
        <w:t xml:space="preserve">Ms. Tsoukala was appointed to our Board of Directors on February 28, 2018 and serves on the Audit Committee, Compensation Committee, Conflicts Committee and Nominating Committee. Ms. Tsoukala is the managing partner and founder of Tsoukala &amp; Partners Law Firm, a leading Greek business law firm. Her legal practice includes corporate advice in cross-border and domestic transactions. Between 2004 and 2007, Ms. Tsoukala served as legal advisor to the Greek Deputy Minister of Finance. Between 2001 and 2003, Ms. Tsoukala practiced at an international law firm in London. Ms. Tsoukala holds an LL.M. degree in International Business Law from University College London and an LL.B. degree from the University of Oxford and is a qualified attorney-at-law admitted to the bar in England and Greece.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Janet DiFiore </w:t>
      </w:r>
    </w:p>
    <w:p>
      <w:pPr>
        <w:pStyle w:val="TextBody"/>
        <w:bidi w:val="0"/>
        <w:spacing w:before="120" w:after="0"/>
        <w:jc w:val="left"/>
        <w:rPr>
          <w:rFonts w:ascii="Times New Roman" w:hAnsi="Times New Roman"/>
          <w:sz w:val="20"/>
        </w:rPr>
      </w:pPr>
      <w:r>
        <w:rPr>
          <w:rFonts w:ascii="Times New Roman" w:hAnsi="Times New Roman"/>
          <w:sz w:val="20"/>
        </w:rPr>
        <w:t xml:space="preserve">Janet DiFiore has 40 years of experience as a prosecutor, trial lawyer, trial judge and appellate judge, and has held senior leadership and executive positions in the public sector for more than 25 years. Ms. DiFiore began her career as an Assistant District Attorney in the Westchester County District Attorney’s Office and later returned to that office as Chief of the Narcotics Bureau. In 1998, she was elected to the Westchester County Court, and in 2002 she was elected a Justice of the New York State Supreme Court for the 9th Judicial District, where she subsequently served as Supervising Judge of the Criminal Courts. In 2005, she was elected District Attorney of Westchester County and was reelected in 2009 and 2013. She has also served as President of the New York State District Attorneys Association and as Chair of the New York State Joint Commission on Public Ethics. On December 1, 2015, Ms. DiFiore was appointed Chief Judge of the New York Court of Appeals and the State of New York, and, after unanimous confirmation by the New York State Senate in January 2016, she served in that role until her retirement from government service in 2022.She is a recipient of the Deming Cup awarded by Columbia Business School. Judge DiFiore holds a B.A. from C.W. Post College, Long Island University and a J.D. from St. John’s University School of Law. </w:t>
      </w:r>
    </w:p>
    <w:p>
      <w:pPr>
        <w:pStyle w:val="TextBody"/>
        <w:bidi w:val="0"/>
        <w:spacing w:before="480" w:after="0"/>
        <w:jc w:val="center"/>
        <w:rPr>
          <w:rFonts w:ascii="Times New Roman" w:hAnsi="Times New Roman"/>
          <w:b/>
          <w:sz w:val="20"/>
        </w:rPr>
      </w:pPr>
      <w:r>
        <w:rPr>
          <w:rFonts w:ascii="Times New Roman" w:hAnsi="Times New Roman"/>
          <w:b/>
          <w:sz w:val="20"/>
        </w:rPr>
        <w:t xml:space="preserve">Board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APPROVAL OF EACH OF THE NOMINEES FOR ELECTION AS DIRECTOR.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Management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certain information concerning our executive officers who are not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6"/>
        <w:gridCol w:w="137"/>
        <w:gridCol w:w="305"/>
        <w:gridCol w:w="137"/>
        <w:gridCol w:w="6940"/>
      </w:tblGrid>
      <w:tr>
        <w:trPr/>
        <w:tc>
          <w:tcPr>
            <w:tcW w:w="268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940"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Name</w:t>
            </w:r>
          </w:p>
        </w:tc>
        <w:tc>
          <w:tcPr>
            <w:tcW w:w="137" w:type="dxa"/>
            <w:tcBorders/>
            <w:vAlign w:val="bottom"/>
          </w:tcPr>
          <w:p>
            <w:pPr>
              <w:pStyle w:val="TableContents"/>
              <w:bidi w:val="0"/>
              <w:spacing w:before="0" w:after="283"/>
              <w:jc w:val="left"/>
              <w:rPr/>
            </w:pPr>
            <w:r>
              <w:rPr/>
              <w:t>  </w:t>
            </w:r>
          </w:p>
        </w:tc>
        <w:tc>
          <w:tcPr>
            <w:tcW w:w="3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Age</w:t>
            </w:r>
          </w:p>
        </w:tc>
        <w:tc>
          <w:tcPr>
            <w:tcW w:w="137" w:type="dxa"/>
            <w:tcBorders/>
            <w:vAlign w:val="bottom"/>
          </w:tcPr>
          <w:p>
            <w:pPr>
              <w:pStyle w:val="TableContents"/>
              <w:bidi w:val="0"/>
              <w:spacing w:before="0" w:after="283"/>
              <w:jc w:val="left"/>
              <w:rPr/>
            </w:pPr>
            <w:r>
              <w:rPr/>
              <w:t>  </w:t>
            </w:r>
          </w:p>
        </w:tc>
        <w:tc>
          <w:tcPr>
            <w:tcW w:w="694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Position</w:t>
            </w:r>
          </w:p>
        </w:tc>
      </w:tr>
      <w:tr>
        <w:trPr/>
        <w:tc>
          <w:tcPr>
            <w:tcW w:w="2686" w:type="dxa"/>
            <w:tcBorders/>
          </w:tcPr>
          <w:p>
            <w:pPr>
              <w:pStyle w:val="TableContents"/>
              <w:bidi w:val="0"/>
              <w:spacing w:before="0" w:after="283"/>
              <w:jc w:val="left"/>
              <w:rPr/>
            </w:pPr>
            <w:r>
              <w:rPr/>
              <w:t>Nikolaos Kalapotharakos</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51</w:t>
            </w:r>
          </w:p>
        </w:tc>
        <w:tc>
          <w:tcPr>
            <w:tcW w:w="137" w:type="dxa"/>
            <w:tcBorders/>
            <w:vAlign w:val="bottom"/>
          </w:tcPr>
          <w:p>
            <w:pPr>
              <w:pStyle w:val="TableContents"/>
              <w:bidi w:val="0"/>
              <w:spacing w:before="0" w:after="283"/>
              <w:jc w:val="left"/>
              <w:rPr/>
            </w:pPr>
            <w:r>
              <w:rPr/>
              <w:t>  </w:t>
            </w:r>
          </w:p>
        </w:tc>
        <w:tc>
          <w:tcPr>
            <w:tcW w:w="6940" w:type="dxa"/>
            <w:tcBorders/>
          </w:tcPr>
          <w:p>
            <w:pPr>
              <w:pStyle w:val="TableContents"/>
              <w:bidi w:val="0"/>
              <w:spacing w:before="0" w:after="283"/>
              <w:jc w:val="left"/>
              <w:rPr/>
            </w:pPr>
            <w:r>
              <w:rPr/>
              <w:t>Chief Financial Officer</w:t>
            </w:r>
          </w:p>
        </w:tc>
      </w:tr>
      <w:tr>
        <w:trPr>
          <w:trHeight w:val="120" w:hRule="atLeast"/>
        </w:trPr>
        <w:tc>
          <w:tcPr>
            <w:tcW w:w="2686"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7077" w:type="dxa"/>
            <w:gridSpan w:val="2"/>
            <w:tcBorders/>
            <w:vAlign w:val="center"/>
          </w:tcPr>
          <w:p>
            <w:pPr>
              <w:pStyle w:val="TableContents"/>
              <w:bidi w:val="0"/>
              <w:spacing w:before="0" w:after="283"/>
              <w:jc w:val="left"/>
              <w:rPr>
                <w:sz w:val="4"/>
                <w:szCs w:val="4"/>
              </w:rPr>
            </w:pPr>
            <w:r>
              <w:rPr>
                <w:sz w:val="4"/>
                <w:szCs w:val="4"/>
              </w:rPr>
            </w:r>
          </w:p>
        </w:tc>
      </w:tr>
      <w:tr>
        <w:trPr/>
        <w:tc>
          <w:tcPr>
            <w:tcW w:w="2686" w:type="dxa"/>
            <w:tcBorders/>
          </w:tcPr>
          <w:p>
            <w:pPr>
              <w:pStyle w:val="TableContents"/>
              <w:bidi w:val="0"/>
              <w:spacing w:before="0" w:after="283"/>
              <w:jc w:val="left"/>
              <w:rPr/>
            </w:pPr>
            <w:r>
              <w:rPr/>
              <w:t>Nikolaos Tripodakis</w:t>
            </w:r>
          </w:p>
        </w:tc>
        <w:tc>
          <w:tcPr>
            <w:tcW w:w="137"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38</w:t>
            </w:r>
          </w:p>
        </w:tc>
        <w:tc>
          <w:tcPr>
            <w:tcW w:w="137" w:type="dxa"/>
            <w:tcBorders/>
            <w:vAlign w:val="bottom"/>
          </w:tcPr>
          <w:p>
            <w:pPr>
              <w:pStyle w:val="TableContents"/>
              <w:bidi w:val="0"/>
              <w:spacing w:before="0" w:after="283"/>
              <w:jc w:val="left"/>
              <w:rPr/>
            </w:pPr>
            <w:r>
              <w:rPr/>
              <w:t>  </w:t>
            </w:r>
          </w:p>
        </w:tc>
        <w:tc>
          <w:tcPr>
            <w:tcW w:w="6940" w:type="dxa"/>
            <w:tcBorders/>
          </w:tcPr>
          <w:p>
            <w:pPr>
              <w:pStyle w:val="TableContents"/>
              <w:bidi w:val="0"/>
              <w:spacing w:before="0" w:after="283"/>
              <w:jc w:val="left"/>
              <w:rPr/>
            </w:pPr>
            <w:r>
              <w:rPr/>
              <w:t>Chief Commercial Officer</w:t>
            </w:r>
          </w:p>
        </w:tc>
      </w:tr>
    </w:tbl>
    <w:p>
      <w:pPr>
        <w:pStyle w:val="TextBody"/>
        <w:bidi w:val="0"/>
        <w:spacing w:before="240" w:after="0"/>
        <w:jc w:val="left"/>
        <w:rPr>
          <w:rFonts w:ascii="Times New Roman" w:hAnsi="Times New Roman"/>
          <w:sz w:val="20"/>
        </w:rPr>
      </w:pPr>
      <w:r>
        <w:rPr>
          <w:rFonts w:ascii="Times New Roman" w:hAnsi="Times New Roman"/>
          <w:i/>
          <w:sz w:val="20"/>
        </w:rPr>
        <w:t>Nikolaos Kalapotharakos, Chief Financial Officer</w:t>
      </w:r>
      <w:r>
        <w:rPr>
          <w:rFonts w:ascii="Times New Roman" w:hAnsi="Times New Roman"/>
          <w:sz w:val="20"/>
        </w:rPr>
        <w:t xml:space="preserve">. Mr. Kalapotharakos was appointed as Chief Financial Officer of CGP LLC on February 28, 2018, and, in connection with the Conversion, was appointed as our Chief Financial Officer on the Effective Date. Mr. Kalapotharakos joined Capital Maritime in January 2016 as deputy Chief Financial Officer. He started his professional career in 2001 at PricewaterhouseCoopers (PwC) where he served as an external auditor specializing in shipping companies until 2007 before joining Globus Maritime Limited, a Nasdaq listed owner of dry bulk vessels, where he served as its financial controller until the end of 2015. Mr. Kalapotharakos holds a BSc in Economics and Social studies in Economics from the University of Wales, Aberystwyth U.K. and an MSc in Financial and Business Economics from the University of Essex U.K. </w:t>
      </w:r>
    </w:p>
    <w:p>
      <w:pPr>
        <w:pStyle w:val="TextBody"/>
        <w:bidi w:val="0"/>
        <w:spacing w:before="240" w:after="0"/>
        <w:jc w:val="left"/>
        <w:rPr>
          <w:rFonts w:ascii="Times New Roman" w:hAnsi="Times New Roman"/>
          <w:sz w:val="20"/>
        </w:rPr>
      </w:pPr>
      <w:r>
        <w:rPr>
          <w:rFonts w:ascii="Times New Roman" w:hAnsi="Times New Roman"/>
          <w:i/>
          <w:sz w:val="20"/>
        </w:rPr>
        <w:t>Nikolaos Tripodakis, Chief Commercial Officer</w:t>
      </w:r>
      <w:r>
        <w:rPr>
          <w:rFonts w:ascii="Times New Roman" w:hAnsi="Times New Roman"/>
          <w:sz w:val="20"/>
        </w:rPr>
        <w:t xml:space="preserve">. Mr. Nikolaos Tripodakis was appointed as our Chief Commercial Officer in December 2024. Mr. Nikolaos Tripodakis has more than ten years of experience in LNG shipping, trading, and chartering. He served as an LNG trader and charterer at Hartree Partners in London where he developed the physical LNG freight portfolio. Previously, he worked at the LNG trading desk of Noble Group and prior to that, he facilitated the development of the LNG desk at Simpson, Spence &amp; Young. He holds an MEng in Naval Architecture and Marine Engineering from the National Technical University of Athens and an MSc in Shipping, Trade and Finance from Bayes (formerly Cass) Business School, London.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Board Responsibilities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Marshall Islands Business Corporations Act, subject to the limitations of the Articles of Incorporation and of the Marshall Islands Business Corporations Act as to actions that are required to be authorized or approved by Shareholders, all corporate powers of the Company are exercised by or under the authority of, and the business and affairs of the Company are managed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strongly encourage all directors to attend the Annual Meeting, but we have no specific policy requiring attendance by directors at such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Nomination Criteria </w:t>
      </w:r>
    </w:p>
    <w:p>
      <w:pPr>
        <w:pStyle w:val="TextBody"/>
        <w:bidi w:val="0"/>
        <w:spacing w:before="120" w:after="0"/>
        <w:jc w:val="left"/>
        <w:rPr>
          <w:rFonts w:ascii="Times New Roman" w:hAnsi="Times New Roman"/>
          <w:sz w:val="20"/>
        </w:rPr>
      </w:pPr>
      <w:r>
        <w:rPr>
          <w:rFonts w:ascii="Times New Roman" w:hAnsi="Times New Roman"/>
          <w:sz w:val="20"/>
        </w:rPr>
        <w:t>The Nominating Committee is responsible for identifying individuals believed to be qualified to become directors, consistent with criteria approved by the Board of Directors, and to select, or recommend to the Board of Directors, the nominees to stand for election as directors at the Annual Meeting or, if applicable, at a special meeting of Shareholders. In selecting or recommending candidates, the Nominating Committee shall take into consideration the criteria approved by the Board of Directors and such other factors as it deems appropriate. The criteria of the Board of Directors for selecting directors include such factors as (i) the candidate’s ability to comprehend the Company’s strategic goals and to help guide the Company towards the accomplishment of those goals; (ii) the history of the candidate in conducting his or her personal and professional affairs with the utmost integrity and observing the highest standards of values, character and ethics; (iii) the candidate’s time availability for participation at meetings of the Board of Directors and its applicable committees; (iv) the candidate’s judgment and business experience with related businesses or other organizations of comparable size; (v) the knowledge and skills the candidate would add to the Board of Directors and its committees, including the candidate’s knowledge of the rules and regulations of the U.S. Securities and Exchange Commission (the “</w:t>
      </w:r>
      <w:r>
        <w:rPr>
          <w:rFonts w:ascii="Times New Roman" w:hAnsi="Times New Roman"/>
          <w:i/>
          <w:sz w:val="20"/>
        </w:rPr>
        <w:t>SEC</w:t>
      </w:r>
      <w:r>
        <w:rPr>
          <w:rFonts w:ascii="Times New Roman" w:hAnsi="Times New Roman"/>
          <w:sz w:val="20"/>
        </w:rPr>
        <w:t xml:space="preserve">”) and national stock exchanges, and accounting and financial reporting requirements; (vi) the candidate’s ability to satisfy the criteria for independence established by the SEC and national stock exchanges; and (vii) the interplay of the candidate’s experience with the experience of other members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Bylaws require Shareholders proposing nominations for the election of directors to give us advance notice. This does not apply to the designation of director nominees by the Capital Parties pursuant to the Shareholders’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Meetings and 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and its committees meet throughout the year generally on a quarterly schedule, and hold special meetings and act by written consent from time to time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delegates various responsibilities and authority to Board committees. Committees regularly report on their activities and actions to the full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each member of the Audit Committee, Compensation Committee, Nominating Committee and Conflicts Committee, is an independent director, in accordance with the standards adopted by the Nasdaq, the SEC and any other applicable laws and regulations governing independence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written charters for all committees, as well as a Code of Business Conduct and Ethics that applies to the Company and all of its employees, directors, officers and agents. The charters for the committees of the Board of Directors and the Code of Business Conduct and Ethics are publicly available in the “Corporate Governance” section of our website at www.capitalcleanenergycarriers.com, and each is available in print, upon request and without charge, to any shareholder. Information that is contained on or may be accessed through such website is not incorporated by reference herein. Each of the committees has the authority to retain independent advisors and consultants, with all fees and expenses to be paid by us.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currently consists of directors Keith Forman (Chair), Dimitris P. Christacopoulos, Rory Hussey, Martin Houston, and Eleni Tsoukala, each of whom the Board of Directors has determined is an independent director. Mr. Forman has been designated an “Audit Committee Financial Expert” under the SEC rules. The Audit Committee has powers and performs the functions customarily performed by such a committee.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Audit Committee is to assist the Board of Directors’ oversight of (i) the integrity of our financial statements, (ii) our compliance with legal and regulatory requirements, (iii) significant financial transactions and financial policy and standards, (iv) the independent auditors’ qualifications and independence, (v) the performance of the independent auditors and our internal auditing function, (vi) the independent auditors’ annual audit of our financial statements, and (vii) our systems of disclosure controls and procedures and internal controls over financial reporting. The function of the Audit Committee is oversight. Our management is responsible for the preparation, presentation and integrity of our financial statements and for the effectiveness of internal control over financial reporting. Management and the internal auditing function are responsible for maintaining appropriate accounting and financial reporting principles and policies and internal controls and procedures that provide for compliance with accounting standards and applicable laws and regulations. Our independent auditors, Deloitte Certified Public Accountants S.A., are responsible for planning and carrying out a proper audit of our annual financial statements and of our internal control over financial reporting and other procedures.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currently consists of directors Rory Hussey (Chair), Keith Forman, and Eleni Tsoukala.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discharges certain responsibilities of the Board of Directors relating to compensation by us. These include making recommendation to the Board of Directors in respect of compensation of members of the Board of Directors, but exclude compensation of our executive officers pursuant to our executive services agreements described below. The Compensation Committee has overall responsibility for approving and evaluating our compensation plans, policies and programs. The Compensation Committee reviews compensation of the members of the board of directors and has overall responsibility for approving and evaluating our compensation plans, policies and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Committee currently consists of directors Eleni Tsoukala (Chair), Dimitris Christacopoulos and Martin Houston.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Committee’s responsibilities include (i) identifying individuals believed to be qualified to become directors and to select, or recommend to the Board of Directors, the nominees to stand for election as directors at meetings of Shareholders, (ii) subject to the Shareholders’ Agreement and applicable law, considering a director’s offer of resignation which specifies it is subject to acceptance and recommending to the Board of Directors whether to accept the resignation or reject it and (iii) developing and recommending to the Board of Directors standards to be applied in making determinations as to the absence of material relationships between us and a director. </w:t>
      </w:r>
    </w:p>
    <w:p>
      <w:pPr>
        <w:pStyle w:val="TextBody"/>
        <w:bidi w:val="0"/>
        <w:spacing w:before="240" w:after="0"/>
        <w:jc w:val="left"/>
        <w:rPr>
          <w:rFonts w:ascii="Times New Roman" w:hAnsi="Times New Roman"/>
          <w:sz w:val="20"/>
        </w:rPr>
      </w:pPr>
      <w:r>
        <w:rPr>
          <w:rFonts w:ascii="Times New Roman" w:hAnsi="Times New Roman"/>
          <w:sz w:val="20"/>
        </w:rPr>
        <w:t xml:space="preserve">For descriptions of the nominations process and the provisions of the Shareholders’ Agreement applicable to the designation of director nominees by the Capital Parties, see Proposal One above and “Certain Relationships and Related Transactions—Shareholders’ Agreement”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Conflicts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Conflicts Committee currently consists of directors Dimitris P. Christacopoulos (Chair), Keith Forman, Rory Hussey and Eleni Tsoukala. </w:t>
      </w:r>
    </w:p>
    <w:p>
      <w:pPr>
        <w:pStyle w:val="TextBody"/>
        <w:bidi w:val="0"/>
        <w:spacing w:before="240" w:after="0"/>
        <w:jc w:val="left"/>
        <w:rPr>
          <w:rFonts w:ascii="Times New Roman" w:hAnsi="Times New Roman"/>
          <w:sz w:val="20"/>
        </w:rPr>
      </w:pPr>
      <w:r>
        <w:rPr>
          <w:rFonts w:ascii="Times New Roman" w:hAnsi="Times New Roman"/>
          <w:sz w:val="20"/>
        </w:rPr>
        <w:t xml:space="preserve">The primary purpose of the Conflicts Committee is to consider and evaluate and, if the Conflicts Committee deems it appropriate, negotiate the terms, and grant Special Approval (as defined in Article IX of the Articles of Incorporation) with respect to any contract, agreement, arrangement or transaction between Capital Maritime or any of its affiliates, on the one hand, and us, on the other hand. Specifically, the Conflicts Committee is responsible for carrying out certain duties set forth in the Shareholders’ Agreement and Registration Rights Agreement (as defined and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Our Conflicts Committee charter provides that the members of the committee (i) may not be security holders, officers or employees of Capital Maritime and its affiliates, (ii) may not be holders of any ownership in us other than Common Shares and (iii) must be independent directors under the Nasdaq listing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ESG Committee </w:t>
      </w:r>
    </w:p>
    <w:p>
      <w:pPr>
        <w:pStyle w:val="TextBody"/>
        <w:bidi w:val="0"/>
        <w:spacing w:before="120" w:after="0"/>
        <w:jc w:val="left"/>
        <w:rPr>
          <w:rFonts w:ascii="Times New Roman" w:hAnsi="Times New Roman"/>
          <w:sz w:val="20"/>
        </w:rPr>
      </w:pPr>
      <w:r>
        <w:rPr>
          <w:rFonts w:ascii="Times New Roman" w:hAnsi="Times New Roman"/>
          <w:sz w:val="20"/>
        </w:rPr>
        <w:t>In addition to the Board committees, the Board has formed the ESG Committee. The ESG Committee currently consists of directors Keith Forman (Chair), Gerasimos (Jerry) Kalogiratos and Atsunori Kozuki as well as Mr. Stergios Stergiou, our Chief Sustainability Officer. The primary purpose of the ESG Committee is to discharge certain responsibilities relating to environmental, social and corporate governance matters involving us (“</w:t>
      </w:r>
      <w:r>
        <w:rPr>
          <w:rFonts w:ascii="Times New Roman" w:hAnsi="Times New Roman"/>
          <w:i/>
          <w:sz w:val="20"/>
        </w:rPr>
        <w:t>ESG Matters</w:t>
      </w:r>
      <w:r>
        <w:rPr>
          <w:rFonts w:ascii="Times New Roman" w:hAnsi="Times New Roman"/>
          <w:sz w:val="20"/>
        </w:rPr>
        <w:t xml:space="preserve">”). The ESG Committee provides oversight and guidance with respect to ESG Matters, evaluates and recommends initiatives with respect to ESG Matters and assesses risks and opportunities related to ESG Matters.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While our Common Shares are listed on the Nasdaq, because we are a foreign private issuer, our Board of Directors is not required to be composed of a majority of independent directors. However, our Bylaws require that a majority of the directors qualify as independent under the Nasdaq listing rules and any applicable SEC rules.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has evaluated whether each of the directors meets the independence requirements set forth in the Nasdaq listing rules and applicable SEC rules. The Nasdaq independence definition includes a series of objective tests, such as whether the director or nominee director is our employee or has engaged in various types of business dealings with us. In addition, the Board of Directors is required to make a subjective determination that no relationships exist which, in the opinion of the Board of Directors, would interfere with the exercise of the director’s independent judgment in carrying out his or her responsibilities. After reviewing the information presented to it, our Board of Directors has determined that each of Messrs. Christacopoulos, Forman, Hussey, Houston, Kozuki and Mses. DiFiore and Tsoukala is “independent” within the meaning of such rules. In making these determinations, the Board of Directors reviewed and discussed information provided by Messrs. Christacopoulos, Forman, Hussey, Houston, Kozuki and Mses. DiFiore and Tsoukala with regard to their respective business and personal activities as they may relate to us and our management. Our independent directors will meet in executive session as often as necessary to fulfill their duties, but no less frequently than annually.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As a foreign private issuer, we are not required to comply with all of the rules that apply to listed U.S. companies. For example, in compliance with the listing rules of the Nasdaq, our Board of Directors amended and restated our Omnibus Plan (as defined below) without seeking the approval of holders of our Shareholders. See “Compensation of Management and Directors—Executive Compensation.”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Although we are not required to have a majority of independent directors on our Board of Directors or to establish a compensation committee or a nominating/corporate governance committee, our Board of Directors is composed of a majority of independent directors and has established the Audit Committee, the Compensation Committee, the Nominating Committee and the Conflicts Committee, comprised solely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have generally chosen to comply with most of the Nasdaq’s corporate governance rules as though we were a U.S. company. The following are the significant ways in which the Company’s corporate governance practices deviate from the Nasdaq’s corporate governance rules that apply to listed U.S.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we have historically voluntarily produced and disseminated a proxy statement in respect of our annual meeting of Shareholders and expect to continue to do so, as a foreign private issuer we are not required to solicit proxies or provide proxy statements to Nasdaq pursuant to the Nasdaq corporate governance rules or Marshall Islands law. Consistent with Marshall Islands law and as provided in our Bylaws, we will notify our Shareholders of meetings between 15 and 60 days before the meeting. This notification will contain, among other things, information regarding business to be transacted at the meeting. In addition, our Bylaws provide that shareholders must give between 90 and 120 days advance notice to properly introduce any business at a meeting of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Consistent with Marshall Islands law, we are not required to publicly disclose all agreements and arrangements between any director or nominee for director, and any person or entity other than the Company, relating to compensation or other payment in connection with such person’s candidacy for, or service as, 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Consistent with our Articles of Incorporation and Bylaws and the Shareholders’ Agreement, our Nominating Committee is composed of a majority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lieu of obtaining Shareholder approval prior to the issuance of designated securities or the adoption of equity compensation plans or material amendments to such equity compensation plans, we will comply with Marshall Islands law, providing that the board of directors approves share issuances and adoptions of and material amendments to equity compensation plans. Likewise, in lieu of obtaining Shareholder approval prior to the issuance of securities in certain circumstances (e.g., the issuance of securities in connection with an acquisition of the stock or assets of another company), consistent with Marshall Islands law and our Articles of Incorporation and Bylaws, the Board of Directors approves certain share issuances.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is not required to meet regularly in executive sessions at which only independent directors are present and without management present.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Consistent with Marshall Islands law, we do not require that our corporate actions or issuances cannot disparately reduce or restrict the voting rights of existing shareholders.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Although our Board of Directors has not adopted a formal procedure for Shareholders to communicate in writing with members of the Board of Directors, any such communications received by the Company will be forwarded to our Board of Directors. Because our Board of Directors meets frequently and is able to meet on short notice, the Company has not deemed it necessary to adopt a formal communication procedure at this time.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and 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The Nasdaq does not require a foreign private issuer like us to comply with all of its corporate governance requirements. The Board of Directors, however, has adopted a Code of Business Conduct and Ethics. The Board of Directors is responsible for overseeing the Code of Business Conduct and Ethics. Among other matters, the code addresses the following matters concerning the Board of Directors and its committees: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relating to personal relationships, including conflicts of interest and corporate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relating to confidential information, including insider trading;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relating to company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relating to records and accounts, including a ban on loans to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Reporting and compliance procedures;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Anti-bribery and anti-corruption.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written charters for the committees of the Board of Directors. See above “—Meetings and Committees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Role of the Board of Directors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and the Audit Committee oversee the management of the risks to which the Company is exposed. Risks are identified, assessed and managed on an ongoing basis by the Board of Directors and, under the Board of Director’s oversight, our officers, and addressed during periodic Board of Directors and committee meetings, resulting in both Board of Directors and committee discussions and public disclosure, as appropriate. The Board of Directors is responsible for overseeing our management in the execution of its risk management responsibilities and for reviewing our approach to risk management. The Board of Directors administers this risk oversight function either through the full Board of Directors or through the Audit Committee, each of which examines various components of the risks to which we are exposed as part of its responsibilities. An overall review of risk is inherent in the Board of Director’s consideration of our long- and short-term strategies, acquisitions and significant financial matters. The Audit Committee oversees financial risks (including risks associated with accounting and financial reporting), legal and compliance risks and other risk management functions.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responsible for the review and approval of “related party transactions” between us and our directors, executive officers, Capital Maritime and its affiliates or other related persons. Under SEC rules, a related person is a director, officer, nominee for director or 5% or greater Shareholder since the beginning of our last fiscal year and their immediate family members. Certain related party transactions are referred to the Conflict Committee. See “Corporate Governance—Meetings and Committees of the Board of Directors.” Pursuant to our Articles of Incorporation, the Board of Directors may also refer the approval of related party transactions to another committee of the Board of Directors comprised solely of independent directors. See also “—Certain Shareholder Relationships” below.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Agreements with Capital-Containers Ship Management Corp. and Capital Gas Ship Management Corp. </w:t>
      </w:r>
    </w:p>
    <w:p>
      <w:pPr>
        <w:pStyle w:val="TextBody"/>
        <w:bidi w:val="0"/>
        <w:spacing w:before="120" w:after="0"/>
        <w:jc w:val="left"/>
        <w:rPr>
          <w:rFonts w:ascii="Times New Roman" w:hAnsi="Times New Roman"/>
          <w:sz w:val="20"/>
        </w:rPr>
      </w:pPr>
      <w:r>
        <w:rPr>
          <w:rFonts w:ascii="Times New Roman" w:hAnsi="Times New Roman"/>
          <w:sz w:val="20"/>
        </w:rPr>
        <w:t xml:space="preserve">We have floating fee (or fixed fee in case a vessel in our fleet is employed under a bareboat charter) management agreements with Capital Containers Ship Management Corp. </w:t>
      </w:r>
      <w:r>
        <w:rPr>
          <w:rFonts w:ascii="Times New Roman" w:hAnsi="Times New Roman"/>
          <w:i/>
          <w:sz w:val="20"/>
        </w:rPr>
        <w:t>(</w:t>
      </w:r>
      <w:r>
        <w:rPr>
          <w:rFonts w:ascii="Times New Roman" w:hAnsi="Times New Roman"/>
          <w:sz w:val="20"/>
        </w:rPr>
        <w:t>“</w:t>
      </w:r>
      <w:r>
        <w:rPr>
          <w:rFonts w:ascii="Times New Roman" w:hAnsi="Times New Roman"/>
          <w:i/>
          <w:sz w:val="20"/>
        </w:rPr>
        <w:t>Capital-Containers</w:t>
      </w:r>
      <w:r>
        <w:rPr>
          <w:rFonts w:ascii="Times New Roman" w:hAnsi="Times New Roman"/>
          <w:sz w:val="20"/>
        </w:rPr>
        <w:t>”) with respect to our container vessels and with Capital Gas Ship Management Corp. (“</w:t>
      </w:r>
      <w:r>
        <w:rPr>
          <w:rFonts w:ascii="Times New Roman" w:hAnsi="Times New Roman"/>
          <w:i/>
          <w:sz w:val="20"/>
        </w:rPr>
        <w:t>Capital-Gas Management</w:t>
      </w:r>
      <w:r>
        <w:rPr>
          <w:rFonts w:ascii="Times New Roman" w:hAnsi="Times New Roman"/>
          <w:sz w:val="20"/>
        </w:rPr>
        <w:t>”, and together with Capital-Containers, the “</w:t>
      </w:r>
      <w:r>
        <w:rPr>
          <w:rFonts w:ascii="Times New Roman" w:hAnsi="Times New Roman"/>
          <w:i/>
          <w:sz w:val="20"/>
        </w:rPr>
        <w:t>Managers</w:t>
      </w:r>
      <w:r>
        <w:rPr>
          <w:rFonts w:ascii="Times New Roman" w:hAnsi="Times New Roman"/>
          <w:sz w:val="20"/>
        </w:rPr>
        <w:t xml:space="preserve">”) with respect to our LNG/Cs and other vessels. Each of Capital-Containers and Capital-Gas Management is a privately held company ultimately controlled by Mr. Miltiadis E. Marinakis. </w:t>
      </w:r>
    </w:p>
    <w:p>
      <w:pPr>
        <w:pStyle w:val="TextBody"/>
        <w:bidi w:val="0"/>
        <w:spacing w:before="240" w:after="0"/>
        <w:jc w:val="left"/>
        <w:rPr>
          <w:rFonts w:ascii="Times New Roman" w:hAnsi="Times New Roman"/>
          <w:sz w:val="20"/>
        </w:rPr>
      </w:pPr>
      <w:r>
        <w:rPr>
          <w:rFonts w:ascii="Times New Roman" w:hAnsi="Times New Roman"/>
          <w:sz w:val="20"/>
        </w:rPr>
        <w:t xml:space="preserve">Under our management agreements with Capital-Containers and Capital-Gas 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pay our Managers a daily technical management fee per vessel, which is revised annually based on the United States Consumer Price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indemnify our Managers for expenses and liabilities they incur on our behalf in the provision of the contracted for services, including, for example, crew, repairs and maintenance, insurance, stores, spares, lubricants and other operating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bear all costs and expenses associated with a vessel’s drydocking.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2024, and 2023, management fees under the management agreements (including discontinued operations) amounted to $10.0 million, $12.2 million and $10.9 million, respectively. We expect that vessels acquired in the future will be managed under similar floating fee management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Supervision Services Agreements with Capital-Gas Management </w:t>
      </w:r>
    </w:p>
    <w:p>
      <w:pPr>
        <w:pStyle w:val="TextBody"/>
        <w:bidi w:val="0"/>
        <w:spacing w:before="120" w:after="0"/>
        <w:jc w:val="left"/>
        <w:rPr>
          <w:rFonts w:ascii="Times New Roman" w:hAnsi="Times New Roman"/>
          <w:sz w:val="20"/>
        </w:rPr>
      </w:pPr>
      <w:r>
        <w:rPr>
          <w:rFonts w:ascii="Times New Roman" w:hAnsi="Times New Roman"/>
          <w:sz w:val="20"/>
        </w:rPr>
        <w:t xml:space="preserve">We have supervision services agreements with Capital-Gas Management and each of the vessel-owning companies of the vessels currently under construction, in order to supervise the performance of the design, building, equipment, completion and delivery by the shipyard of the respective vessels.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2024, and 2023, supervision fees under the supervision services agreements amounted to $4.1 million, $1.4 million and $2.0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Related-Party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Vessel Acquisitions and Advances for Vessels Under Construction </w:t>
      </w:r>
    </w:p>
    <w:p>
      <w:pPr>
        <w:pStyle w:val="TextBody"/>
        <w:bidi w:val="0"/>
        <w:spacing w:before="120" w:after="0"/>
        <w:jc w:val="left"/>
        <w:rPr>
          <w:rFonts w:ascii="Times New Roman" w:hAnsi="Times New Roman"/>
          <w:sz w:val="20"/>
        </w:rPr>
      </w:pPr>
      <w:r>
        <w:rPr>
          <w:rFonts w:ascii="Times New Roman" w:hAnsi="Times New Roman"/>
          <w:sz w:val="20"/>
        </w:rPr>
        <w:t>In 2024, pursuant to the Umbrella Agreement dated as November 13, 2023 among us, Capital Maritime and CGP LLC (the “</w:t>
      </w:r>
      <w:r>
        <w:rPr>
          <w:rFonts w:ascii="Times New Roman" w:hAnsi="Times New Roman"/>
          <w:i/>
          <w:sz w:val="20"/>
        </w:rPr>
        <w:t>Umbrella Agreement</w:t>
      </w:r>
      <w:r>
        <w:rPr>
          <w:rFonts w:ascii="Times New Roman" w:hAnsi="Times New Roman"/>
          <w:sz w:val="20"/>
        </w:rPr>
        <w:t>”), we acquired from Capital Maritime the shares of the vessel-owning companies of the LNG/C Axios II, the LNG/C Assos, the LNG/C Aktoras and the LNG/C Apostolos for a total consideration of $1,204.0 million. For the above acquisitions we drew down the amount of $134.8 million from the unsecured seller’s credit in an amount up to $220.0 million issued by Capital Maritime to the Company on November 13, 2023 in connection with the Umbrella Agreement to finance a portion of the purchase price for the vessels to be acquired pursuant to the Umbrella Agreement (the “</w:t>
      </w:r>
      <w:r>
        <w:rPr>
          <w:rFonts w:ascii="Times New Roman" w:hAnsi="Times New Roman"/>
          <w:i/>
          <w:sz w:val="20"/>
        </w:rPr>
        <w:t>Seller’s Credit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June 3, 2024, we announced an investment in 10 newbuild gas carriers, including four LCO2/multi gas carriers and six LPG-ammonia carriers that we agreed to acquire from Capital Maritime for a total amount of $756.0 million (the “</w:t>
      </w:r>
      <w:r>
        <w:rPr>
          <w:rFonts w:ascii="Times New Roman" w:hAnsi="Times New Roman"/>
          <w:i/>
          <w:sz w:val="20"/>
        </w:rPr>
        <w:t>Gas Fleet</w:t>
      </w:r>
      <w:r>
        <w:rPr>
          <w:rFonts w:ascii="Times New Roman" w:hAnsi="Times New Roman"/>
          <w:sz w:val="20"/>
        </w:rPr>
        <w:t xml:space="preserve">”), with expected deliveries between the first quarter of 2026 and the third quarter of 2027. The ship building contracts for the Gas Fleet were initially entered into by Capital Maritime. The acquisition/contract prices to be paid by the Company correspond to the actual ship building cost for all vessels in the Gas Fleet except for two HMD LCO2 vessels, which were acquired pursuant to the rights of first refusal agreed under the Umbrella Agreement. The vessels in the Gas Fleet were ordered by Capital Maritime in July 2023 and were acquired by the Company at the same cost that the last two HMD LCO2 vessels were contracted for in January 2024. The Company has reimbursed Capital Maritime for a total amount of $74.7 million representing advances made to the shipyards by Capital Maritime under certain of the ship building contracts and a premium of $11.5 million. In addition to $315.4 million that we have paid to-date to Capital Maritime and shipyards, we expect to pay an additional amount of $440.6 million to shipyards in pre-delivery and delivery installments for the Gas Fleet. </w:t>
      </w:r>
    </w:p>
    <w:p>
      <w:pPr>
        <w:pStyle w:val="TextBody"/>
        <w:bidi w:val="0"/>
        <w:spacing w:before="360" w:after="0"/>
        <w:jc w:val="left"/>
        <w:rPr>
          <w:rFonts w:ascii="Times New Roman" w:hAnsi="Times New Roman"/>
          <w:b/>
          <w:sz w:val="20"/>
        </w:rPr>
      </w:pPr>
      <w:r>
        <w:rPr>
          <w:rFonts w:ascii="Times New Roman" w:hAnsi="Times New Roman"/>
          <w:b/>
          <w:sz w:val="20"/>
        </w:rPr>
        <w:t xml:space="preserve">Other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Conversion, on August 26, 2024, we entered into the Shareholders’ Agreement with the Capital Parties, setting forth certain governance matters with respect to the Company. Pursuant to the Shareholders’ Agreement, in connection with each annual meeting of Shareholders, until the date on which Capital Maritime and its affiliates cease to own at least 25% of the outstanding Common Shares, Capital Maritime and its affiliates will have the right to designate three individuals for nomination to the Board of Directors, who shall be reasonably acceptable to the Nominating Committee. If the holdings of Capital Maritime and its affiliates fall below 25% but remain above 15% of the outstanding Common Shares, Capital Maritime and its affiliates thereafter will have the right to so designate two individuals. If the holdings of Capital Maritime and its affiliates fall below 15% but remain above 5% of the outstanding Common Shares, Capital Maritime and its affiliates thereafter will have the right to so designate one individual. If the holdings of Capital Maritime and its affiliates fall below 5%, Capital Maritime thereafter will no longer have any rights to designate individuals for nomination. For so long as Capital Maritime and its affiliates have the right to designate for nomination to the Board of Directors at least one individual pursuant to the Shareholders’ Agreement, we are required to include, and cause the Nominating Committee to include, any such individual in the slate of nominees recommended by the Nominating Committee to holders of Common Shares for election to the Board of Directors. The remaining nominees for election to the Board of Directors are nominated by the Nominating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so long as Capital Maritime and its affiliates have the right to nominate at least one director pursuant to the Shareholders’ Agreement, Capital Maritime and its affiliates shall not designate individuals for nomination to the Board of Directors (nor participate in nominating, nor encourage any other person to recommend or propose for nomination, any individuals to the Board of Directors) other than pursuant to its nomination rights under the Shareholders’ Agreement or otherwise with the approval of the Nominating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In connection with the Conversion, on August 26, 2024, we entered into a Registration Rights Agreement with the Capital Parties, Paparebecorp Limited, a Cyprus limited liability company (“</w:t>
      </w:r>
      <w:r>
        <w:rPr>
          <w:rFonts w:ascii="Times New Roman" w:hAnsi="Times New Roman"/>
          <w:i/>
          <w:sz w:val="20"/>
        </w:rPr>
        <w:t>Paparebecorp</w:t>
      </w:r>
      <w:r>
        <w:rPr>
          <w:rFonts w:ascii="Times New Roman" w:hAnsi="Times New Roman"/>
          <w:sz w:val="20"/>
        </w:rPr>
        <w:t>”) and Ascetico Limited, a Cyprus limited liability company (together with Paparebecorp and their Affiliates, the “</w:t>
      </w:r>
      <w:r>
        <w:rPr>
          <w:rFonts w:ascii="Times New Roman" w:hAnsi="Times New Roman"/>
          <w:i/>
          <w:sz w:val="20"/>
        </w:rPr>
        <w:t>Yoda Parties</w:t>
      </w:r>
      <w:r>
        <w:rPr>
          <w:rFonts w:ascii="Times New Roman" w:hAnsi="Times New Roman"/>
          <w:sz w:val="20"/>
        </w:rPr>
        <w:t>”), providing them with certain registration rights with respect to the Common Shares (the “</w:t>
      </w:r>
      <w:r>
        <w:rPr>
          <w:rFonts w:ascii="Times New Roman" w:hAnsi="Times New Roman"/>
          <w:i/>
          <w:sz w:val="20"/>
        </w:rPr>
        <w:t>Registration Rights Agreement</w:t>
      </w:r>
      <w:r>
        <w:rPr>
          <w:rFonts w:ascii="Times New Roman" w:hAnsi="Times New Roman"/>
          <w:sz w:val="20"/>
        </w:rPr>
        <w:t>”). Pursuant to the Registration Rights Agreement, if any of the Capital Parties and/or the Yoda Parties desire to sell Common Shares and Rule 144 of the Securities Act of 1933, as amended (the “</w:t>
      </w:r>
      <w:r>
        <w:rPr>
          <w:rFonts w:ascii="Times New Roman" w:hAnsi="Times New Roman"/>
          <w:i/>
          <w:sz w:val="20"/>
        </w:rPr>
        <w:t>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Act</w:t>
      </w:r>
      <w:r>
        <w:rPr>
          <w:rFonts w:ascii="Times New Roman" w:hAnsi="Times New Roman"/>
          <w:sz w:val="20"/>
        </w:rPr>
        <w:t>”), or another exemption from registration is not available to enable such person to dispose of the number of securities it desires to sell at the time it desires to do so without registration under the Securities Act (such securities, the “</w:t>
      </w:r>
      <w:r>
        <w:rPr>
          <w:rFonts w:ascii="Times New Roman" w:hAnsi="Times New Roman"/>
          <w:i/>
          <w:sz w:val="20"/>
        </w:rPr>
        <w:t>Registrable Securities</w:t>
      </w:r>
      <w:r>
        <w:rPr>
          <w:rFonts w:ascii="Times New Roman" w:hAnsi="Times New Roman"/>
          <w:sz w:val="20"/>
        </w:rPr>
        <w:t>”), then, at the request of Capital Maritime, the Company shall file a “Shelf Registration Statement” pursuant to and as defined in the Registration Rights Agreement, with the SEC as promptly as practicable after receiving such request, and will use its reasonable best efforts to cause it to become effective and remain continuously effective and in compliance with the Securities Act and useable for the resale of Registrable Securities until such time as there are no Registrable Securities remaining, including by filing successive replacement or renewal Shelf Registration Statements upon the expiration of such Shelf Registration Statement. Any holder of Registrable Securities (a “</w:t>
      </w:r>
      <w:r>
        <w:rPr>
          <w:rFonts w:ascii="Times New Roman" w:hAnsi="Times New Roman"/>
          <w:i/>
          <w:sz w:val="20"/>
        </w:rPr>
        <w:t>Holder</w:t>
      </w:r>
      <w:r>
        <w:rPr>
          <w:rFonts w:ascii="Times New Roman" w:hAnsi="Times New Roman"/>
          <w:sz w:val="20"/>
        </w:rPr>
        <w:t xml:space="preserve">”) may request that it be included in such Shelf Registration Statement as a selling securityholder with respect to any Registrable Securities then held by it, subject to the provisions of the Registration Rights Agreement. At any time during which a Shelf Registration Statement is not in effect and the Company is not then in the process of preparing for filing with the SEC a Shelf Registration Statement or an amendment or supplement to a Shelf Registration Statement necessary so that such Shelf Registration Statement continues to be in effect in compliance with the Securities Act, any Holder may request to sell all or part of its Registrable Securities pursuant to a registration statement separate from a Shelf Registration Statement. On April 29, 2025, we filed a registration statement on Form F-3 with respect to up to 15,142,440 Common Shares held by the Yoda Parties, which was declared effective on May 12, 2025. </w:t>
      </w:r>
    </w:p>
    <w:p>
      <w:pPr>
        <w:pStyle w:val="TextBody"/>
        <w:bidi w:val="0"/>
        <w:spacing w:before="240" w:after="0"/>
        <w:jc w:val="left"/>
        <w:rPr>
          <w:rFonts w:ascii="Times New Roman" w:hAnsi="Times New Roman"/>
          <w:sz w:val="20"/>
        </w:rPr>
      </w:pPr>
      <w:r>
        <w:rPr>
          <w:rFonts w:ascii="Times New Roman" w:hAnsi="Times New Roman"/>
          <w:sz w:val="20"/>
        </w:rPr>
        <w:t xml:space="preserve">The Capital Parties, together with any direct or indirect transferee, shall be entitled to demand up to four underwritten offerings pursuant to the Registration Rights Agreement and the Yoda Parties shall be entitled to demand one underwritten registration.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at any time proposes to file a registration statement under the Securities Act for an offering of securities for cash (other than an offering relating solely to an employee benefit plan), the Company will use all reasonable best efforts to include such number or amount of Registrable Securities held by any Holder in such registration statement as the Holder shall request, subject to customary cut back provisions. </w:t>
      </w:r>
    </w:p>
    <w:p>
      <w:pPr>
        <w:pStyle w:val="TextBody"/>
        <w:bidi w:val="0"/>
        <w:spacing w:before="240" w:after="0"/>
        <w:jc w:val="left"/>
        <w:rPr>
          <w:rFonts w:ascii="Times New Roman" w:hAnsi="Times New Roman"/>
          <w:sz w:val="20"/>
        </w:rPr>
      </w:pPr>
      <w:r>
        <w:rPr>
          <w:rFonts w:ascii="Times New Roman" w:hAnsi="Times New Roman"/>
          <w:sz w:val="20"/>
        </w:rPr>
        <w:t xml:space="preserve">If the Conflicts Committee determines in good faith that the requested registration would be materially detrimental to the Company because such registration would (i) materially interfere in a way materially adverse to the Company with a significant acquisition, merger, disposition,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applicable securities laws, then the Company shall have the right to postpone such requested registration for a period of not more than 90 days, such right not to be utilized more than twice in any 12-month period. </w:t>
      </w:r>
    </w:p>
    <w:p>
      <w:pPr>
        <w:pStyle w:val="TextBody"/>
        <w:bidi w:val="0"/>
        <w:spacing w:before="240" w:after="0"/>
        <w:jc w:val="left"/>
        <w:rPr>
          <w:rFonts w:ascii="Times New Roman" w:hAnsi="Times New Roman"/>
          <w:sz w:val="20"/>
        </w:rPr>
      </w:pPr>
      <w:r>
        <w:rPr>
          <w:rFonts w:ascii="Times New Roman" w:hAnsi="Times New Roman"/>
          <w:sz w:val="20"/>
        </w:rPr>
        <w:t xml:space="preserve">All costs and expenses of any such registration and offering (other than the underwriting discounts and commissions) shall be paid by the Company without reimbursement by the Holder. The Company also agreed to indemnify each Holder, its officers, directors and each person who controls the Holder for any claims based upon, arising out of or resulting from any untrue statement or alleged untrue statement of any material fact in connection with any registration pursuant to the Registration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Services Agreements </w:t>
      </w:r>
    </w:p>
    <w:p>
      <w:pPr>
        <w:pStyle w:val="TextBody"/>
        <w:bidi w:val="0"/>
        <w:spacing w:before="120" w:after="0"/>
        <w:jc w:val="left"/>
        <w:rPr>
          <w:rFonts w:ascii="Times New Roman" w:hAnsi="Times New Roman"/>
          <w:sz w:val="20"/>
        </w:rPr>
      </w:pPr>
      <w:r>
        <w:rPr>
          <w:rFonts w:ascii="Times New Roman" w:hAnsi="Times New Roman"/>
          <w:sz w:val="20"/>
        </w:rPr>
        <w:t>On August 26, 2024, we entered into an Executive Services Agreement with CGP LLC, pursuant to which CGP LLC and its affiliates provide certain executive, investor relations and corporate support services to the Company (the “</w:t>
      </w:r>
      <w:r>
        <w:rPr>
          <w:rFonts w:ascii="Times New Roman" w:hAnsi="Times New Roman"/>
          <w:i/>
          <w:sz w:val="20"/>
        </w:rPr>
        <w:t>Executive Services Agreement</w:t>
      </w:r>
      <w:r>
        <w:rPr>
          <w:rFonts w:ascii="Times New Roman" w:hAnsi="Times New Roman"/>
          <w:sz w:val="20"/>
        </w:rPr>
        <w:t>”). The Executive Services Agreement replaced the executive services agreement, dated October 1, 2022, with CGP LLC (the “</w:t>
      </w:r>
      <w:r>
        <w:rPr>
          <w:rFonts w:ascii="Times New Roman" w:hAnsi="Times New Roman"/>
          <w:i/>
          <w:sz w:val="20"/>
        </w:rPr>
        <w:t>Partnership Executive Services Agreement</w:t>
      </w:r>
      <w:r>
        <w:rPr>
          <w:rFonts w:ascii="Times New Roman" w:hAnsi="Times New Roman"/>
          <w:sz w:val="20"/>
        </w:rPr>
        <w:t xml:space="preserve">”). Pursuant to the Executive Services Agreement, CGP LLC and its affiliates provide certain executive, investor relations and corporate support services to the Company. In consideration for CGP LLC and its affiliates providing such services, the Company pays a fixed amount of $3.5 million per annum to CGP LLC. During the term of the Executive Services Agreement, the officers and consultants appointed by CGP LLC and its affiliates are eligible to participate in all benefit programs as are from time to time made generally available to senior executives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In addition, if any officer and consultant appointed by CGP LLC or its affiliates resigns under the relevant provisions of their employment and consultancy agreement with CGP LLC or its affiliates due to a “Change of Control” as defined in the Executive Services Agreement, the Company will pay any compensation provided in such employment and consultancy agreement. The Company has also agreed to indemnify CGP LLC, its affiliates and its or their employees, shareholders, directors, consultants and agents against all actions, proceedings, claims, demands or liabilities which may be brought against them due to the Executive Services Agreement other than those which may be caused by or due to the fraud, gross negligence or willful misconduct of CGP LLC, its affiliates or its or their employees, shareholders, directors, consultants and agents. </w:t>
      </w:r>
    </w:p>
    <w:p>
      <w:pPr>
        <w:pStyle w:val="TextBody"/>
        <w:bidi w:val="0"/>
        <w:spacing w:before="240" w:after="0"/>
        <w:jc w:val="left"/>
        <w:rPr>
          <w:rFonts w:ascii="Times New Roman" w:hAnsi="Times New Roman"/>
          <w:sz w:val="20"/>
        </w:rPr>
      </w:pPr>
      <w:r>
        <w:rPr>
          <w:rFonts w:ascii="Times New Roman" w:hAnsi="Times New Roman"/>
          <w:sz w:val="20"/>
        </w:rPr>
        <w:t xml:space="preserve">Under the Partnership Executive Services Agreement, the General Partner provided certain executive officers services for the management of our business as well as investor relations and corporate support services to the Partnership, for a fee of $3.5 million per annum.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we paid CGP LLC $3.5 million pursuant to the Executive Services Agreement. For the years ended December 31, 2024 and 2023 we paid CGP LLC $2.8 million and $2.4 million, respectively, pursuant to the applicable Executive Services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Services Agreement </w:t>
      </w:r>
    </w:p>
    <w:p>
      <w:pPr>
        <w:pStyle w:val="TextBody"/>
        <w:bidi w:val="0"/>
        <w:spacing w:before="120" w:after="0"/>
        <w:jc w:val="left"/>
        <w:rPr>
          <w:rFonts w:ascii="Times New Roman" w:hAnsi="Times New Roman"/>
          <w:sz w:val="20"/>
        </w:rPr>
      </w:pPr>
      <w:r>
        <w:rPr>
          <w:rFonts w:ascii="Times New Roman" w:hAnsi="Times New Roman"/>
          <w:sz w:val="20"/>
        </w:rPr>
        <w:t>On April 4, 2007, we entered into an administrative services agreement with Capital Ship Management Corp. (“</w:t>
      </w:r>
      <w:r>
        <w:rPr>
          <w:rFonts w:ascii="Times New Roman" w:hAnsi="Times New Roman"/>
          <w:i/>
          <w:sz w:val="20"/>
        </w:rPr>
        <w:t>CSM</w:t>
      </w:r>
      <w:r>
        <w:rPr>
          <w:rFonts w:ascii="Times New Roman" w:hAnsi="Times New Roman"/>
          <w:sz w:val="20"/>
        </w:rPr>
        <w:t xml:space="preserve">”), pursuant to which CSM agreed to provide certain administrative and management services to us, such as accounting, auditing, legal, insurance, clerical and other administrative services. On the same date, we entered into an IT services agreement with Capital Ship Management pursuant to which Capital Ship Management provides IT management services to the Company. In addition, we reimburse CSM and CGP LLC for reasonable costs and expenses incurred in connection with the provision of these services, after CSM and/or CGP LLC submits to us an invoice for such costs and expenses together with any supporting detail that may be reasonably required. CSM is a privately held company initially formed and controlled by Capital Maritime. In 2018, CSM conducted a management buy-out led by its senior management. Since then, CSM is no longer part of the group of companies controlled by Capital Maritime.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Shareholder Relationships </w:t>
      </w:r>
    </w:p>
    <w:p>
      <w:pPr>
        <w:pStyle w:val="TextBody"/>
        <w:bidi w:val="0"/>
        <w:spacing w:before="120" w:after="0"/>
        <w:jc w:val="left"/>
        <w:rPr>
          <w:rFonts w:ascii="Times New Roman" w:hAnsi="Times New Roman"/>
          <w:sz w:val="20"/>
        </w:rPr>
      </w:pPr>
      <w:r>
        <w:rPr>
          <w:rFonts w:ascii="Times New Roman" w:hAnsi="Times New Roman"/>
          <w:sz w:val="20"/>
        </w:rPr>
        <w:t>In the Articles of Incorporation we renounced, to the fullest extent permitted by law, any interest or expectancy in, or right to be offered an opportunity to participate in, any business opportunity which may be a corporate opportunity for Capital Maritime or any of its affiliates (the “</w:t>
      </w:r>
      <w:r>
        <w:rPr>
          <w:rFonts w:ascii="Times New Roman" w:hAnsi="Times New Roman"/>
          <w:i/>
          <w:sz w:val="20"/>
        </w:rPr>
        <w:t>Identified Persons</w:t>
      </w:r>
      <w:r>
        <w:rPr>
          <w:rFonts w:ascii="Times New Roman" w:hAnsi="Times New Roman"/>
          <w:sz w:val="20"/>
        </w:rPr>
        <w:t xml:space="preserve">”) and us or our affiliates. No Identified Person has any duty to refrain from directly or indirectly (a) engaging in the same or similar business activities or lines of business in which we or our affiliates engage or propose to engage, or (b) otherwise competing with us or our affiliates, and, to the fullest extent permitted by law, no Identified Person shall be liable to us or our shareholders or to any of our affiliates for breach of any fiduciary duty solely because such Identified Person engages in any such activities. In the event that any Identified Person acquires knowledge of a potential transaction or other business opportunity which may be a corporate opportunity for such Identified Person and us or our affiliates, such Identified Person, to the fullest extent permitted by law, has no duty to communicate or offer such transaction or business opportunity to us or our affiliates and, to the fullest extent permitted by law, shall not be liable to us or our shareholders or to any of our affiliates for breach of any fiduciary duty as a shareholder, director or officer of ours because such Identified Person pursues or acquires such corporate opportunity for themselves, or offers or directs such corporate opportunity to another person. We did not renounce our interest in any corporate opportunity (a) offered to any Identified Person if (i) such opportunity is expressly offered to such Identified Person solely in their capacity as a director or officer of ours, (ii) such Identified Person believed that we possessed, or would reasonably be expected to be able to possess, the resources necessary to exploit such opportunity and (iii) we or our subsidiaries are directly engaged in such business at the time such opportunity is offered to such Identified Person or (b) required to be offered to the us pursuant to Section 3.7 of the Umbrella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Articles of Incorporation also provide that no contract, agreement, arrangement or transaction entered into between us and/or any of our subsidiaries, on the one hand, and an Identified Person, on the other hand, before the Conversion shall be void or voidable or be considered unfair to us or any of our subsidiaries solely because such Identified Person is a party thereto, or because any directors, officers or employees of such Identified Person were present at or participated in any meeting of the Board of Directors, or a committee thereof, or the board of directors, or committee thereof, of any of our subsidiaries, that authorized the contract, agreement, arrangement or transaction, or because such Identified Person’s votes were counted for such purpose. We and our subsidiaries may from time to time enter into and perform contracts, agreements, arrangements or transactions with an Identified Person. To the fullest extent permitted by law, no such contract, agreement, arrangement or transaction, nor the performance thereof by us or our subsidiaries or an Identified Person, shall be considered contrary to any fiduciary duty owed to us, any of our subsidiaries or to any of our or our subsidiaries’ stockholders by any director or officer so long as such contract, agreement, arrangement or transaction, in addition to any requirements under applicable law, is (i) approved by a majority of the members of a committee of the Board of Directors comprised solely of independent directors, (ii) approved by the vote of holders of a majority of the outstanding Common Shares (excluding Common Shares owned by the Identified Persons), (iii) on terms no less favorable to us or our subsidiary, as applicable, than those generally being provided to or available from unrelated third parties or (iv) fair to us, taking into account the totality of the relationships between the parties involved.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August 6, 2026 the beneficial ownership of our Common Shares by each person we know beneficially owns more than 5.0% or more of our Common Shares, and all of our directors and executive officers as a group. The number of Common Shares beneficially owned by each person is determined under SEC rules and the information is not necessarily indicative of beneficial ownership for any other purpose. Under SEC rules a person beneficially owns any common shares as to which the person has or shares voting or investment power. The percentages in the following table are based on 60,212,098 Common Shares outstanding (excluding 880,086 Common Shares held in treasury).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59"/>
        <w:gridCol w:w="406"/>
        <w:gridCol w:w="77"/>
        <w:gridCol w:w="1458"/>
        <w:gridCol w:w="60"/>
        <w:gridCol w:w="406"/>
        <w:gridCol w:w="144"/>
        <w:gridCol w:w="1066"/>
        <w:gridCol w:w="279"/>
      </w:tblGrid>
      <w:tr>
        <w:trPr/>
        <w:tc>
          <w:tcPr>
            <w:tcW w:w="3859"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bottom"/>
          </w:tcPr>
          <w:p>
            <w:pPr>
              <w:pStyle w:val="TableContents"/>
              <w:bidi w:val="0"/>
              <w:spacing w:before="0" w:after="283"/>
              <w:jc w:val="center"/>
              <w:rPr>
                <w:b/>
              </w:rPr>
            </w:pPr>
            <w:r>
              <w:rPr>
                <w:b/>
              </w:rPr>
              <w:t>Name and Address of Beneficial Owner</w:t>
            </w:r>
          </w:p>
        </w:tc>
        <w:tc>
          <w:tcPr>
            <w:tcW w:w="406"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center"/>
              <w:rPr>
                <w:b/>
              </w:rPr>
            </w:pPr>
            <w:r>
              <w:rPr>
                <w:b/>
              </w:rPr>
              <w:t>Number of</w:t>
              <w:br/>
              <w:t>Common</w:t>
              <w:br/>
              <w:t>Shares Owned</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21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Percentage of</w:t>
              <w:br/>
              <w:t>Total</w:t>
            </w:r>
          </w:p>
          <w:p>
            <w:pPr>
              <w:pStyle w:val="TableContents"/>
              <w:bidi w:val="0"/>
              <w:spacing w:before="0" w:after="20"/>
              <w:jc w:val="center"/>
              <w:rPr>
                <w:rFonts w:ascii="Times New Roman" w:hAnsi="Times New Roman"/>
                <w:b/>
                <w:sz w:val="16"/>
              </w:rPr>
            </w:pPr>
            <w:r>
              <w:rPr>
                <w:rFonts w:ascii="Times New Roman" w:hAnsi="Times New Roman"/>
                <w:b/>
                <w:sz w:val="16"/>
              </w:rPr>
              <w:t>Common Shares</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Maritime (1)</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29,115,106</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48.4</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 Gas (1)</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1,182,668</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2.0</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CGP LLC (1)</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5,142,463</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8.5</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Yoda PLC (2)</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17,175,137</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28.5</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Martin Houston</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Keith Forman</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Dimitris P. Christacopoulos</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Janet DiFiore</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Gurpal Grewal (3)</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Rory Hussey</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Gerasimos (Jerry) Kalogiratos</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Atsunori Kozuki</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Eleni Tsoukala</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Nikolaos Kalapotharakos</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r>
        <w:trPr/>
        <w:tc>
          <w:tcPr>
            <w:tcW w:w="38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Nikolaos Tripodakis</w:t>
            </w:r>
          </w:p>
        </w:tc>
        <w:tc>
          <w:tcPr>
            <w:tcW w:w="40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w:t>
            </w:r>
          </w:p>
        </w:tc>
        <w:tc>
          <w:tcPr>
            <w:tcW w:w="279" w:type="dxa"/>
            <w:tcBorders/>
            <w:shd w:fill="CCEEFF" w:val="clear"/>
            <w:vAlign w:val="bottom"/>
          </w:tcPr>
          <w:p>
            <w:pPr>
              <w:pStyle w:val="TableContents"/>
              <w:bidi w:val="0"/>
              <w:spacing w:before="0" w:after="283"/>
              <w:jc w:val="left"/>
              <w:rPr/>
            </w:pPr>
            <w:r>
              <w:rPr/>
              <w:t> </w:t>
            </w:r>
          </w:p>
        </w:tc>
      </w:tr>
      <w:tr>
        <w:trPr/>
        <w:tc>
          <w:tcPr>
            <w:tcW w:w="3859" w:type="dxa"/>
            <w:tcBorders/>
          </w:tcPr>
          <w:p>
            <w:pPr>
              <w:pStyle w:val="TableContents"/>
              <w:bidi w:val="0"/>
              <w:spacing w:before="0" w:after="0"/>
              <w:jc w:val="left"/>
              <w:rPr>
                <w:rFonts w:ascii="Times New Roman" w:hAnsi="Times New Roman"/>
                <w:b/>
                <w:sz w:val="20"/>
              </w:rPr>
            </w:pPr>
            <w:r>
              <w:rPr>
                <w:rFonts w:ascii="Times New Roman" w:hAnsi="Times New Roman"/>
                <w:b/>
                <w:sz w:val="20"/>
              </w:rPr>
              <w:t>All executive officers, directors and director nominee as a group (eleven persons)</w:t>
            </w:r>
          </w:p>
        </w:tc>
        <w:tc>
          <w:tcPr>
            <w:tcW w:w="40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of our outstanding Common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Marinakis family, including Evangelos M. Marinakis, our former chairman, through its ownership of Capital Maritime may be deemed to beneficially own, or to have beneficially owned, all of our Common Shares held by Capital Maritime. The Marinakis family, including Miltiadis E. Marinakis, through its ownership of 100% of Capital Gas and CGP LLC, may be deemed to beneficially own all of our Common Shares held by Capital Gas and CGP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reported in a Schedule 13D filed on January 3, 2024 by Yoda PLC (“Yoda”) and Ioannis Papalekas, as amended and supplemented on January 9, 2024, January 22, 2024, January 30, 2024, February 26, 2024, September 11, 2024, May 22, 2025, July 22, 2025, July 30, 2025 and September 29, 2025. According to the Schedule 13D, Mr. Papalekas is the controlling shareholder of Yoda and as such may be deemed to beneficially own the Common Shares held by Yoda or its wholly-owned subsidiaries Paparebecorp Limited and Ascetico Limited.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Grewal will not stand for re-election at the Annual Meeting.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COMPENSATION OF MANAGEMENT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of our Chief Executive Officer and Chief Financial Officer is set and paid by CGP LLC. We reimburse CGP LLC for certain costs and related expenses pursuant to the Executive Services Agreement. Prior to the Conversion, the compensation of the General Partner’s Chief Executive Officer, Chief Financial Officer and Chief Commercial Officer was set and paid by CGP LLC as General Partner, and we reimbursed the General Partner for certain costs and related expenses under the Partnership Executive Services Agreement. We do not have a retirement plan for our executive officers or directors. Officers, employees and affiliates of CGP LLC who provide services to us pursuant to the Executive Services Agreement may participate in employee benefit plans and arrangements sponsored by Capital Maritime, CGP LLC or their affiliates, including plans that may be established in the future. </w:t>
      </w:r>
    </w:p>
    <w:p>
      <w:pPr>
        <w:pStyle w:val="TextBody"/>
        <w:bidi w:val="0"/>
        <w:spacing w:before="240" w:after="0"/>
        <w:jc w:val="left"/>
        <w:rPr>
          <w:rFonts w:ascii="Times New Roman" w:hAnsi="Times New Roman"/>
          <w:sz w:val="20"/>
        </w:rPr>
      </w:pPr>
      <w:r>
        <w:rPr>
          <w:rFonts w:ascii="Times New Roman" w:hAnsi="Times New Roman"/>
          <w:sz w:val="20"/>
        </w:rPr>
        <w:t>On April 29, 2008, the board of directors adopted an Omnibus Incentive Compensation Plan (the “</w:t>
      </w:r>
      <w:r>
        <w:rPr>
          <w:rFonts w:ascii="Times New Roman" w:hAnsi="Times New Roman"/>
          <w:i/>
          <w:sz w:val="20"/>
        </w:rPr>
        <w:t>Omnibus Plan</w:t>
      </w:r>
      <w:r>
        <w:rPr>
          <w:rFonts w:ascii="Times New Roman" w:hAnsi="Times New Roman"/>
          <w:sz w:val="20"/>
        </w:rPr>
        <w:t xml:space="preserve">”), according to which we were entitled to issue a limited number of awards to employees, consultants, officers, directors or affiliates, including the employees, consultants, officers or directors of the General Partner, CSM, Capital Maritime and certain key affiliates and other eligible persons. The Omnibus Plan contemplated awards in the form of incentive stock options, non-qualified stock options, stock appreciation rights, dividend equivalent rights, restricted stock, unrestricted stock, restricted stock units and performance units. The Omnibus Plan was administered by the General Partner as authorized by the board of directors and was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July 2019, the board of directors adopted an amended and restated Omnibus Plan, so as to reserve for issuance a maximum number of 740,000 restricted Common Units. On the same day, the Partnership awarded 445,000 unvested Common Units to employees and non-employees. Awards vested in three equal installments ending on December 31, 2021. All awards under the amended Omnibus Plan were conditional upon the grantee’s continued service until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2022, the board of directors adopted an amended and restated Omnibus Plan, so as to reserve for issuance a maximum number of 750,000 restricted Common Units. On March 18, 2022, the Partnership awarded 743,800 unvested Common Units. Awards granted to beneficiaries would vest in three equal installments. One third of the Common Units awarded (247,933 Common Units) vested on each of December 31, 2022, 2023 and 2024. On December 30, 2022, the Partnership awarded 1,969 unvested Common Units. The Common Units were fully vested on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In January 2024, the board of directors adopted an amended and restated Omnibus Plan and reserved for issuance a maximum number of 3,300,000 restricted Common Units. On January 25, 2024, 1,100,000 Common Units of the 3,300,000 restricted Common Units were issued. On January 1, 2025, the Company awarded 1,050,000 unvested Common Shares. Awards granted to beneficiaries would vest in three equal installments. One third of the Common Shares awarded (350,000 Common Shares) vested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On the Effective Date, in connection with the Conversion, the Board of Directors adopted an amended and restated Omnibus Plan and reserved for issuance a maximum number of 3,300,000 restricted Common Shares. Any awards granted under the Omnibus Plan prior to the Conversion are deemed to refer to Common Shares instead of Common Units and are counted against the aggregate number of Common Shares available for awards under the amended and restated Omnibus Plan. The amended and restated Omnibus Plan is administered by the Board of Directors or such committee of the Board of Directors as may be designated by the Board of Directors from time to time. Subject to compliance with applicable law, the Board of Directors (or a committee thereof) may allocate among its members and delegate to any person who is not a director, including CGP LLC, or to any administrative group within the Company, any of its power, responsibilities or duties under the amended and restated Omnibus Plan. The Board of Directors has sole and plenary authority to (i) approve the aggregate number and type of awards which will be available from time to time for grants to participants under the amended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restated Omnibus Plan and (ii) determine the number and type or types of awards to be granted to directors and make all other award determinations with respect to directors under the amended and restated Omnibus Plan. As of August 6, 2026, the total number of restricted Common Shares remaining available under the amended and restated Omnibus Plan was 2,200,000.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directors receive compensation for their services as directors, as well as for serving in the role of committee chair, and have also received restricted Common Units, all of which have now vested. For the year ended December 31, 2025, our directors, including our chairman, received an aggregate amount of $0.7 million in cash. In lieu of any other compensation, our chairman receives an annual fee for acting as a director and as the chairman of our Board of Directors. In addition, each director is reimbursed for out-of-pocket expenses in connection with attending meetings of the Board of Directors or committees.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Conversion, we did not employ our own management. Instead, the officers of the General Partner acted on our behalf, as agents of the Partnership. Following the Conversion, our executive officers are paid for their services as our officers pursuant to the Executive Services Agreement with CGP LLC. Officers, employees and affiliates of CGP LLC who provide services to us pursuant to the Executive Services Agreement may participate in employee benefit plans and arrangements sponsored by Capital Maritime, CGP LLC or their affiliates, including plans that may be established in the future. If any officer and consultant appointed by CGP LLC or its affiliates resigns under the relevant provisions of their employment and consultancy agreement with CGP LLC or its affiliates due to a “Change of Control” as defined in the Executive Services Agreement, the Company will pay any compensation provided in such employment and consultancy agreement. See above “Certain Relationships and Related Transactions—Other Transactions—Executive Services Agreements” for additional information. In determining the amount to be paid to CGP LLC under the Executive Services Agreement, our Board of Directors considered the costs incurred and expected to be incurred by CGP LLC in providing the services within industry standards. For the year ended December 31, 2025, we paid CGP LLC $3.5 million pursuant to the Executive Services Agreement as compensation for services related to the management of our business and affairs, including the appointment and performance of relevant duties of the chief executive officer, chief financial officer, and a number of additional officers. For the years ended December 31, 2024 and 2023, we paid CGP LLC $2.8 million and $2.4 million, respectively, pursuant to the Executive Services Agreement and the Partnership Executive Services Agreement.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Board of Directors may also consider the appropriateness of granting to our directors, officers, employees or consultants, CGP LLC or other service provider to us or any of their affiliates, in respect of services performed, directly or indirectly, for our benefit, restricted Common Shares under our amended and restated Omnibus Plan, subject to vesting requirements, in order to align the interest of such persons with those of our Shareholders. In determining the amount of these grants, the Board of Directors may consider the then-current market price of our Common Shares, the aggregate holdings of such recipients and their respective affiliates, the results of our operations for the year, and the contribution of such recipients to our results.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REPORT OF THE AUDIT COMMITTEE OF THE BOARD OF DIRECTORS </w:t>
      </w:r>
    </w:p>
    <w:p>
      <w:pPr>
        <w:pStyle w:val="TextBody"/>
        <w:bidi w:val="0"/>
        <w:spacing w:before="240" w:after="0"/>
        <w:jc w:val="center"/>
        <w:rPr>
          <w:rFonts w:ascii="Times New Roman" w:hAnsi="Times New Roman"/>
          <w:b/>
          <w:sz w:val="20"/>
        </w:rPr>
      </w:pPr>
      <w:r>
        <w:rPr>
          <w:rFonts w:ascii="Times New Roman" w:hAnsi="Times New Roman"/>
          <w:b/>
          <w:sz w:val="20"/>
        </w:rPr>
        <w:t xml:space="preserve">The Audit Committee hereby reports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reviewed and discussed the audited financial statements with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discussed with Deloitte Certified Public Accountants S.A., our independent registered public accounting firm, the matters required to be discussed by Statement on Auditing Standards No. 114 (The Auditor’s Communication With Those Charged With Governance), as may be amended or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 Committee has received the written disclosures and the letter from Deloitte Certified Public Accountants S.A., required by PCAOB Ethics and Independence Rule 3526 (Communication with Audit Committees Concerning Independence), as may be modified or supplemented, and has discussed with Deloitte Certified Public Accountants S.A. their independence.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review and discussions referred to in paragraphs (1) through (3) above, the Audit Committee recommended to our Board of Directors that the audited financial statements be included in our Annual Report on Form 20-F for the year ended December 31, 2025, for filing with the SEC.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THE AUDIT COMMITTEE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Keith Forman</w:t>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Dimitris P. Christacopoulos</w:t>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Rory Hussey</w:t>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Eleni Tsoukala</w:t>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Martin Houston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PRINCIPAL ACCOUNTANT FEES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accountant for 2025 and 2024 was Deloitte Certified Public Accountants S.A. The following table shows the fees we paid or accrued for audit and tax services provided by Deloitte Certified Public Accountants S.A. for these periods (in thousands of U.S. Dollars).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85"/>
        <w:gridCol w:w="316"/>
        <w:gridCol w:w="140"/>
        <w:gridCol w:w="568"/>
        <w:gridCol w:w="60"/>
        <w:gridCol w:w="316"/>
        <w:gridCol w:w="140"/>
        <w:gridCol w:w="568"/>
        <w:gridCol w:w="62"/>
      </w:tblGrid>
      <w:tr>
        <w:trPr/>
        <w:tc>
          <w:tcPr>
            <w:tcW w:w="558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85" w:type="dxa"/>
            <w:tcBorders/>
            <w:vAlign w:val="bottom"/>
          </w:tcPr>
          <w:p>
            <w:pPr>
              <w:pStyle w:val="TableContents"/>
              <w:bidi w:val="0"/>
              <w:spacing w:before="0" w:after="283"/>
              <w:jc w:val="left"/>
              <w:rPr>
                <w:b/>
              </w:rPr>
            </w:pPr>
            <w:r>
              <w:rPr>
                <w:b/>
              </w:rPr>
              <w:t>Fees</w:t>
            </w:r>
          </w:p>
        </w:tc>
        <w:tc>
          <w:tcPr>
            <w:tcW w:w="316"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 (1)</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478.2</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402.2</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 (2)</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47.6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 (3)</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18.3</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right"/>
              <w:rPr/>
            </w:pPr>
            <w:r>
              <w:rPr/>
              <w:t>17.3</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8" w:type="dxa"/>
            <w:tcBorders/>
            <w:vAlign w:val="bottom"/>
          </w:tcPr>
          <w:p>
            <w:pPr>
              <w:pStyle w:val="TableContents"/>
              <w:bidi w:val="0"/>
              <w:spacing w:before="0" w:after="283"/>
              <w:jc w:val="right"/>
              <w:rPr>
                <w:b/>
              </w:rPr>
            </w:pPr>
            <w:r>
              <w:rPr>
                <w:b/>
              </w:rPr>
              <w:t>544.1</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8" w:type="dxa"/>
            <w:tcBorders/>
            <w:vAlign w:val="bottom"/>
          </w:tcPr>
          <w:p>
            <w:pPr>
              <w:pStyle w:val="TableContents"/>
              <w:bidi w:val="0"/>
              <w:spacing w:before="0" w:after="283"/>
              <w:jc w:val="right"/>
              <w:rPr>
                <w:b/>
              </w:rPr>
            </w:pPr>
            <w:r>
              <w:rPr>
                <w:b/>
              </w:rPr>
              <w:t>432.1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represent fees for professional services provided in connection with the integrated audit of the consolidated financial statements of the Company, review of our quarterly consolidated financial information and audit services provided in connection with other regulatory filings.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Audit-related fees represent compensation for professional services provided in connection with the public offering and listing on the Athens Stock Exchange of senior unsecured bonds by CPLP Shipping Holdings PLC.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fees represent fees for professional services provided in connection with various U.S. income tax compliance and information reporting matters.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Audit Committee has the authority to pre-approve permissible audit-related and non-audit services not prohibited by law to be performed by our independent auditors and associated fees. Engagements for proposed services may either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2025 and 2024.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PROPOSAL 2: TO RATIFY THE APPOINTMENT OF OUR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appointed Deloitte Certified Public Accountants S.A. as our independent registered public accounting firm for the fiscal year ending December 31, 2026. Deloitte Certified Public Accountants S.A. audited our consolidated balance sheets as of December 31, 2025 and 2024, and the related consolidated statements of comprehensive income, total shareholders’ equity and cash flows for each of the three years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Shareholder approval is not required for the appointment of Deloitte Certified Public Accountants S.A. Nevertheless, the appointment is being submitted for ratification by the Shareholders at the Annual Meeting. No determination has been made, however, as to what action the Board of Directors or the Audit Committee would take if the Shareholders did not ratify this appointment. </w:t>
      </w:r>
    </w:p>
    <w:p>
      <w:pPr>
        <w:pStyle w:val="TextBody"/>
        <w:bidi w:val="0"/>
        <w:spacing w:before="240" w:after="0"/>
        <w:jc w:val="left"/>
        <w:rPr>
          <w:rFonts w:ascii="Times New Roman" w:hAnsi="Times New Roman"/>
          <w:sz w:val="20"/>
        </w:rPr>
      </w:pPr>
      <w:r>
        <w:rPr>
          <w:rFonts w:ascii="Times New Roman" w:hAnsi="Times New Roman"/>
          <w:sz w:val="20"/>
        </w:rPr>
        <w:t xml:space="preserve">A representative of Deloitte Certified Public Accountants S.A. is expected to be present at our Annual Meeting, will have the opportunity to make a statement if he or she desires to do so and will be available to respond to appropriate questions from Shareholders.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Board Recommendation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IN FAVOR OF THE PROPOSAL TO </w:t>
      </w:r>
    </w:p>
    <w:p>
      <w:pPr>
        <w:pStyle w:val="TextBody"/>
        <w:bidi w:val="0"/>
        <w:spacing w:before="0" w:after="0"/>
        <w:jc w:val="center"/>
        <w:rPr>
          <w:rFonts w:ascii="Times New Roman" w:hAnsi="Times New Roman"/>
          <w:b/>
          <w:sz w:val="20"/>
        </w:rPr>
      </w:pPr>
      <w:r>
        <w:rPr>
          <w:rFonts w:ascii="Times New Roman" w:hAnsi="Times New Roman"/>
          <w:b/>
          <w:sz w:val="20"/>
        </w:rPr>
        <w:t xml:space="preserve">RATIFY THE APPOINTMENT OF OUR INDEPENDENT REGISTERED PUBLIC ACCOUNTING </w:t>
      </w:r>
    </w:p>
    <w:p>
      <w:pPr>
        <w:pStyle w:val="TextBody"/>
        <w:bidi w:val="0"/>
        <w:spacing w:before="0" w:after="0"/>
        <w:jc w:val="center"/>
        <w:rPr>
          <w:rFonts w:ascii="Times New Roman" w:hAnsi="Times New Roman"/>
          <w:b/>
          <w:sz w:val="20"/>
        </w:rPr>
      </w:pPr>
      <w:r>
        <w:rPr>
          <w:rFonts w:ascii="Times New Roman" w:hAnsi="Times New Roman"/>
          <w:b/>
          <w:sz w:val="20"/>
        </w:rPr>
        <w:t xml:space="preserve">FIRM FOR THE FISCAL YEAR ENDING DECEMBER 31,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HOUSEHOLDING OF ANNUAL DISCLOSURE DOCUMENTS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sharing an address who are receiving multiple copies of our proxy materials, including the Proxy Statement, proxy card and Annual Report, may contact us (or, if they are not Shareholders of record, their broker, bank or other nominee) if in the future they would like only a single copy of each document be mailed to all shareholders at the shared address. In addition, if you are the beneficial owner, but not the record holder, of Common Shares, your broker, bank or other nominee may deliver only one copy of the proxy materials to multiple shareholders who share an address unless that nominee has received contrary instructions from one or more of the shareholders. We will deliver promptly, upon written or oral request, separate copies of the proxy materials to a shareholder at a shared address to which a single copy of the document was delivered. Shareholders who wish to receive separate copies of the proxy materials, now or in the future, should submit their request to us by phone at +30 210 458 4950 or by mail at 3 Iassonos Street, 18537 Piraeus, Greece. </w:t>
      </w:r>
    </w:p>
    <w:p>
      <w:pPr>
        <w:pStyle w:val="TextBody"/>
        <w:bidi w:val="0"/>
        <w:spacing w:before="480" w:after="0"/>
        <w:jc w:val="center"/>
        <w:rPr>
          <w:rFonts w:ascii="Times New Roman" w:hAnsi="Times New Roman"/>
          <w:b/>
          <w:sz w:val="20"/>
        </w:rPr>
      </w:pPr>
      <w:r>
        <w:rPr>
          <w:rFonts w:ascii="Times New Roman" w:hAnsi="Times New Roman"/>
          <w:b/>
          <w:sz w:val="20"/>
        </w:rPr>
        <w:t xml:space="preserve">OTHER BUSINESS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knows of no other business to be brought before the Annual Meeting. If, however, any other business should properly come before the Annual Meeting, the persons named in the accompanying proxy will vote proxies as in their discretion they may deem appropriate, unless they are directed by a proxy to do otherwise.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CONCERNING PROPOSALS BY SHAREHOLDERS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1.12 of our Bylaws, any Shareholder proposing to nominate persons for election to the Board of Directors or proposing other business to be brought to the Shareholders at the 2027 Annual Meeting must timely deliver notice of such matters in proper written form to the Secretary of the Company and otherwise comply with the requirements of the Bylaws. Any such written notice must be delivered not earlier than May 25, 2027 and not later than June 24, 2027, provided that if the 2027 Annual Meeting is called for a date that is before August 23, 2027 or after October 22, 2027, such notice must be received not earlier than the 120th day prior to the 2027 Annual Meeting and not later than the later of (1) the 90th day prior to the 2027 Annual Meeting and (2) the tenth day following the day on which public disclosure of the date of the 2027 Annual Meeting is first made by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Gerasimos (Jerry) Kalogiratos</w:t>
            </w:r>
          </w:p>
        </w:tc>
      </w:tr>
      <w:tr>
        <w:trPr/>
        <w:tc>
          <w:tcPr>
            <w:tcW w:w="4082" w:type="dxa"/>
            <w:tcBorders/>
          </w:tcPr>
          <w:p>
            <w:pPr>
              <w:pStyle w:val="TableContents"/>
              <w:bidi w:val="0"/>
              <w:spacing w:before="0" w:after="283"/>
              <w:jc w:val="left"/>
              <w:rPr>
                <w:i/>
              </w:rPr>
            </w:pPr>
            <w:r>
              <w:rPr>
                <w:i/>
              </w:rPr>
              <w:t>Director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Piraeus, Greece,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right"/>
        <w:rPr>
          <w:rFonts w:ascii="Times New Roman" w:hAnsi="Times New Roman"/>
          <w:b/>
          <w:sz w:val="20"/>
        </w:rPr>
      </w:pPr>
      <w:bookmarkStart w:id="6" w:name="d104403dex99iii.htm"/>
      <w:bookmarkStart w:id="7" w:name="ksd104403dex99iii"/>
      <w:bookmarkEnd w:id="6"/>
      <w:bookmarkEnd w:id="7"/>
      <w:r>
        <w:rPr>
          <w:rFonts w:ascii="Times New Roman" w:hAnsi="Times New Roman"/>
          <w:b/>
          <w:sz w:val="20"/>
        </w:rPr>
        <w:t xml:space="preserve">Exhibit III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174240" cy="27038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74240" cy="270383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CAPITAL CLEAN ENERGY CARRIERS CORP. 3, IASSONOS ST. 18537 PIRAEUS, GREECE VOTE BY INTERNET—www.proxyvote.com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T02755-P55613 KEEP THIS PORTION FOR YOUR RECORDS THIS PROXY CARD IS VALID ONLY WHEN SIGNED AND DATED. DETACH AND RETURN THIS PORTION ONLY CAPITAL CLEAN ENERGY CARRIERS CORP. The Board of Directors recommends you vote FOR the following proposals: 1. To elect eight directors of the Company to serve until the 2027 Annual Meeting of Shareholders. Nominees: 1a. Martin Houston 1b. Keith Forman 1c. Gerasimos (Jerry) Kalogiratos 1d. Janet DiFiore 1e. Atsunori Kozuki 1f. Rory Hussey 1g. Eleni Tsoukala 1h. Dimitrios Christacopoulos For Against Abstain Please indicate if you plan to attend this meeting. ! ! Yes No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For Against Abstain 2. To ratify the appointment of Deloitte Certified ! ! ! Public Accountants S.A. as our independent registered public accounting firm for the fiscal year ending December 31, 2026. NOTE: Shareholders will transact such other business as may properly come before the Annual Meeting and will consider and vote upon any adjournments or postponements thereof. THIS PROXY WILL BE VOTED IN ACCORDANCE WITH THE SPECIFICATIONS MADE, BUT IF NO CHOICES ARE INDICATED THIS PROXY WILL BE VOTED FOR THE ELECTION OF EACH NOMINEE AND FOR THE PROPOSAL LISTED HEREIN. Signature (Joint Owners) Date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241675" cy="40690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241675" cy="406908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ANNUAL MEETING OF SHAREHOLDERS OF CAPITAL CLEAN ENERGY CARRIERS CORP. September 22, 2026 GO GREEN e-Consent makes it easy to go paperless. With e-Consent, you can quickly access your proxy material, statements and other eligible documents online, while reducing costs, clutter and paper waste. Enroll today via www.proxyvote.com to enjoy online access. Please sign, date and mail your proxy card in the envelope provided as soon as possible. Important Notice Regarding the Availability of Proxy Materials for the Annual Meeting: The Notice and Proxy Statement and Annual Report are available at www.proxyvote.com. T02756-P55613 PROXY CAPITAL CLEAN ENERGY CARRIERS CORP. PROXY FOR ANNUAL MEETING TO BE HELD ON SEPTEMBER 22, 2026 THIS PROXY IS SOLICITED ON BEHALF OF THE BOARD OF DIRECTORS The undersigned, revoking all prior proxies, HEREBY APPOINTS Martin Houston, or, if Mr. Houston is not present, any director of the Company, with full power of substitution, as proxy for the undersigned, to represent the undersigned and to vote all the Common Shares of the Company which the undersigned would be entitled to vote, as fully as the undersigned could vote and act if personally present, at the Annual Meeting of Shareholders (the “Meeting”) to be held on September 22, 2026, at 11:30 A.M. Greek time, at the principal executive offices of Capital Clean Energy Carriers Corp., at 3, Iassonos Street, 18537 Piraeus, Greece or at any adjournments or postponements thereof. Should the undersigned be present and elect to vote at the Meeting or at any adjournments or postponements thereof, and after notification to the Company at the Meeting of the shareholder’s decision to terminate this proxy, then the power of such attorneys or proxies shall be deemed terminated and of no further force and effect. This proxy may also be revoked by filing a written notice of revocation with the Company or by duly executing a proxy bearing a later date.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15504</Words>
  <Characters>83653</Characters>
  <CharactersWithSpaces>99332</CharactersWithSpaces>
  <Paragraphs>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III</dc:title>
</cp:coreProperties>
</file>